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B3810" w14:textId="1A1892F7" w:rsidR="00093123" w:rsidRPr="00AF41CC" w:rsidRDefault="00F8305A" w:rsidP="005D3353">
      <w:pPr>
        <w:spacing w:line="360" w:lineRule="auto"/>
        <w:jc w:val="both"/>
        <w:rPr>
          <w:rFonts w:ascii="Times New Roman" w:hAnsi="Times New Roman" w:cs="Times New Roman"/>
          <w:b/>
          <w:bCs/>
          <w:sz w:val="24"/>
          <w:szCs w:val="24"/>
        </w:rPr>
      </w:pPr>
      <w:r w:rsidRPr="00AF41CC">
        <w:rPr>
          <w:rFonts w:ascii="Times New Roman" w:hAnsi="Times New Roman" w:cs="Times New Roman"/>
          <w:b/>
          <w:bCs/>
          <w:sz w:val="24"/>
          <w:szCs w:val="24"/>
        </w:rPr>
        <w:t>Un « r</w:t>
      </w:r>
      <w:r w:rsidR="006B02C0" w:rsidRPr="00AF41CC">
        <w:rPr>
          <w:rFonts w:ascii="Times New Roman" w:hAnsi="Times New Roman" w:cs="Times New Roman"/>
          <w:b/>
          <w:bCs/>
          <w:sz w:val="24"/>
          <w:szCs w:val="24"/>
        </w:rPr>
        <w:t>etour</w:t>
      </w:r>
      <w:r w:rsidRPr="00AF41CC">
        <w:rPr>
          <w:rFonts w:ascii="Times New Roman" w:hAnsi="Times New Roman" w:cs="Times New Roman"/>
          <w:b/>
          <w:bCs/>
          <w:sz w:val="24"/>
          <w:szCs w:val="24"/>
        </w:rPr>
        <w:t> »</w:t>
      </w:r>
      <w:r w:rsidR="00DD1E48" w:rsidRPr="00AF41CC">
        <w:rPr>
          <w:rFonts w:ascii="Times New Roman" w:hAnsi="Times New Roman" w:cs="Times New Roman"/>
          <w:b/>
          <w:bCs/>
          <w:sz w:val="24"/>
          <w:szCs w:val="24"/>
        </w:rPr>
        <w:t xml:space="preserve"> d</w:t>
      </w:r>
      <w:r w:rsidR="006B02C0" w:rsidRPr="00AF41CC">
        <w:rPr>
          <w:rFonts w:ascii="Times New Roman" w:hAnsi="Times New Roman" w:cs="Times New Roman"/>
          <w:b/>
          <w:bCs/>
          <w:sz w:val="24"/>
          <w:szCs w:val="24"/>
        </w:rPr>
        <w:t>e la s</w:t>
      </w:r>
      <w:r w:rsidR="00C47BA9" w:rsidRPr="00AF41CC">
        <w:rPr>
          <w:rFonts w:ascii="Times New Roman" w:hAnsi="Times New Roman" w:cs="Times New Roman"/>
          <w:b/>
          <w:bCs/>
          <w:sz w:val="24"/>
          <w:szCs w:val="24"/>
        </w:rPr>
        <w:t xml:space="preserve">ouveraineté </w:t>
      </w:r>
      <w:r w:rsidR="006B02C0" w:rsidRPr="00AF41CC">
        <w:rPr>
          <w:rFonts w:ascii="Times New Roman" w:hAnsi="Times New Roman" w:cs="Times New Roman"/>
          <w:b/>
          <w:bCs/>
          <w:sz w:val="24"/>
          <w:szCs w:val="24"/>
        </w:rPr>
        <w:t>étatique</w:t>
      </w:r>
      <w:r w:rsidR="00271013" w:rsidRPr="00AF41CC">
        <w:rPr>
          <w:rFonts w:ascii="Times New Roman" w:hAnsi="Times New Roman" w:cs="Times New Roman"/>
          <w:b/>
          <w:bCs/>
          <w:sz w:val="24"/>
          <w:szCs w:val="24"/>
        </w:rPr>
        <w:t> ?</w:t>
      </w:r>
    </w:p>
    <w:p w14:paraId="23A98DFA" w14:textId="4B65B1A3" w:rsidR="00C47BA9" w:rsidRPr="00AF41CC" w:rsidRDefault="00C47BA9" w:rsidP="005D3353">
      <w:pPr>
        <w:spacing w:line="360" w:lineRule="auto"/>
        <w:jc w:val="both"/>
        <w:rPr>
          <w:rFonts w:ascii="Times New Roman" w:hAnsi="Times New Roman" w:cs="Times New Roman"/>
          <w:sz w:val="24"/>
          <w:szCs w:val="24"/>
        </w:rPr>
      </w:pPr>
      <w:r w:rsidRPr="00AF41CC">
        <w:rPr>
          <w:rFonts w:ascii="Times New Roman" w:hAnsi="Times New Roman" w:cs="Times New Roman"/>
          <w:sz w:val="24"/>
          <w:szCs w:val="24"/>
        </w:rPr>
        <w:t xml:space="preserve">Article pour la revue italienne </w:t>
      </w:r>
      <w:r w:rsidRPr="00AF41CC">
        <w:rPr>
          <w:rFonts w:ascii="Times New Roman" w:hAnsi="Times New Roman" w:cs="Times New Roman"/>
          <w:i/>
          <w:iCs/>
          <w:sz w:val="24"/>
          <w:szCs w:val="24"/>
        </w:rPr>
        <w:t>Soft power</w:t>
      </w:r>
      <w:r w:rsidR="00FC6742" w:rsidRPr="00AF41CC">
        <w:rPr>
          <w:rFonts w:ascii="Times New Roman" w:hAnsi="Times New Roman" w:cs="Times New Roman"/>
          <w:i/>
          <w:iCs/>
          <w:sz w:val="24"/>
          <w:szCs w:val="24"/>
        </w:rPr>
        <w:t xml:space="preserve"> </w:t>
      </w:r>
      <w:r w:rsidR="00056CD7">
        <w:rPr>
          <w:rFonts w:ascii="Times New Roman" w:hAnsi="Times New Roman" w:cs="Times New Roman"/>
          <w:sz w:val="24"/>
          <w:szCs w:val="24"/>
        </w:rPr>
        <w:t>Volumen 9, numero 1, enero-junio 2022</w:t>
      </w:r>
    </w:p>
    <w:p w14:paraId="39F2D87F" w14:textId="53E2DB3C" w:rsidR="00C47BA9" w:rsidRPr="00AF41CC" w:rsidRDefault="00C47BA9" w:rsidP="005D3353">
      <w:pPr>
        <w:spacing w:line="360" w:lineRule="auto"/>
        <w:jc w:val="both"/>
        <w:rPr>
          <w:rFonts w:ascii="Times New Roman" w:hAnsi="Times New Roman" w:cs="Times New Roman"/>
          <w:b/>
          <w:bCs/>
          <w:sz w:val="24"/>
          <w:szCs w:val="24"/>
        </w:rPr>
      </w:pPr>
    </w:p>
    <w:p w14:paraId="7E39413A" w14:textId="441EF367" w:rsidR="00233216" w:rsidRPr="00AF41CC" w:rsidRDefault="00233216" w:rsidP="005D3353">
      <w:pPr>
        <w:spacing w:line="360" w:lineRule="auto"/>
        <w:jc w:val="both"/>
        <w:rPr>
          <w:rFonts w:ascii="Times New Roman" w:hAnsi="Times New Roman" w:cs="Times New Roman"/>
          <w:sz w:val="24"/>
          <w:szCs w:val="24"/>
        </w:rPr>
      </w:pPr>
      <w:r w:rsidRPr="00AF41CC">
        <w:rPr>
          <w:rFonts w:ascii="Times New Roman" w:hAnsi="Times New Roman" w:cs="Times New Roman"/>
          <w:sz w:val="24"/>
          <w:szCs w:val="24"/>
        </w:rPr>
        <w:t>En Angleterre</w:t>
      </w:r>
      <w:r w:rsidR="001E150C" w:rsidRPr="00AF41CC">
        <w:rPr>
          <w:rFonts w:ascii="Times New Roman" w:hAnsi="Times New Roman" w:cs="Times New Roman"/>
          <w:sz w:val="24"/>
          <w:szCs w:val="24"/>
        </w:rPr>
        <w:t>,</w:t>
      </w:r>
      <w:r w:rsidRPr="00AF41CC">
        <w:rPr>
          <w:rFonts w:ascii="Times New Roman" w:hAnsi="Times New Roman" w:cs="Times New Roman"/>
          <w:sz w:val="24"/>
          <w:szCs w:val="24"/>
        </w:rPr>
        <w:t xml:space="preserve"> sous le règne du roi Henri VII,</w:t>
      </w:r>
      <w:r w:rsidR="001E150C" w:rsidRPr="00AF41CC">
        <w:rPr>
          <w:rFonts w:ascii="Times New Roman" w:hAnsi="Times New Roman" w:cs="Times New Roman"/>
          <w:sz w:val="24"/>
          <w:szCs w:val="24"/>
        </w:rPr>
        <w:t xml:space="preserve"> </w:t>
      </w:r>
      <w:r w:rsidRPr="00AF41CC">
        <w:rPr>
          <w:rFonts w:ascii="Times New Roman" w:hAnsi="Times New Roman" w:cs="Times New Roman"/>
          <w:sz w:val="24"/>
          <w:szCs w:val="24"/>
        </w:rPr>
        <w:t>fut introduite une pièce d’or baptisée « souverain »</w:t>
      </w:r>
      <w:r w:rsidR="009E449C" w:rsidRPr="00AF41CC">
        <w:rPr>
          <w:rFonts w:ascii="Times New Roman" w:hAnsi="Times New Roman" w:cs="Times New Roman"/>
          <w:sz w:val="24"/>
          <w:szCs w:val="24"/>
        </w:rPr>
        <w:t xml:space="preserve"> (</w:t>
      </w:r>
      <w:r w:rsidR="009E449C" w:rsidRPr="00AF41CC">
        <w:rPr>
          <w:rFonts w:ascii="Times New Roman" w:hAnsi="Times New Roman" w:cs="Times New Roman"/>
          <w:i/>
          <w:iCs/>
          <w:sz w:val="24"/>
          <w:szCs w:val="24"/>
        </w:rPr>
        <w:t>sovereign</w:t>
      </w:r>
      <w:r w:rsidR="009E449C" w:rsidRPr="00AF41CC">
        <w:rPr>
          <w:rFonts w:ascii="Times New Roman" w:hAnsi="Times New Roman" w:cs="Times New Roman"/>
          <w:sz w:val="24"/>
          <w:szCs w:val="24"/>
        </w:rPr>
        <w:t>)</w:t>
      </w:r>
      <w:r w:rsidR="001E150C" w:rsidRPr="00AF41CC">
        <w:rPr>
          <w:rFonts w:ascii="Times New Roman" w:hAnsi="Times New Roman" w:cs="Times New Roman"/>
          <w:sz w:val="24"/>
          <w:szCs w:val="24"/>
        </w:rPr>
        <w:t xml:space="preserve">, </w:t>
      </w:r>
      <w:r w:rsidRPr="00AF41CC">
        <w:rPr>
          <w:rFonts w:ascii="Times New Roman" w:hAnsi="Times New Roman" w:cs="Times New Roman"/>
          <w:sz w:val="24"/>
          <w:szCs w:val="24"/>
        </w:rPr>
        <w:t xml:space="preserve">ou </w:t>
      </w:r>
      <w:r w:rsidR="001E150C" w:rsidRPr="00AF41CC">
        <w:rPr>
          <w:rFonts w:ascii="Times New Roman" w:hAnsi="Times New Roman" w:cs="Times New Roman"/>
          <w:sz w:val="24"/>
          <w:szCs w:val="24"/>
        </w:rPr>
        <w:t>« </w:t>
      </w:r>
      <w:r w:rsidRPr="00AF41CC">
        <w:rPr>
          <w:rFonts w:ascii="Times New Roman" w:hAnsi="Times New Roman" w:cs="Times New Roman"/>
          <w:sz w:val="24"/>
          <w:szCs w:val="24"/>
        </w:rPr>
        <w:t>pièce du royaume</w:t>
      </w:r>
      <w:r w:rsidR="001E150C" w:rsidRPr="00AF41CC">
        <w:rPr>
          <w:rFonts w:ascii="Times New Roman" w:hAnsi="Times New Roman" w:cs="Times New Roman"/>
          <w:sz w:val="24"/>
          <w:szCs w:val="24"/>
        </w:rPr>
        <w:t xml:space="preserve"> », ou encore « couronne »</w:t>
      </w:r>
      <w:r w:rsidRPr="00AF41CC">
        <w:rPr>
          <w:rFonts w:ascii="Times New Roman" w:hAnsi="Times New Roman" w:cs="Times New Roman"/>
          <w:sz w:val="24"/>
          <w:szCs w:val="24"/>
        </w:rPr>
        <w:t xml:space="preserve">, destinée à remplacer </w:t>
      </w:r>
      <w:r w:rsidR="001E150C" w:rsidRPr="00AF41CC">
        <w:rPr>
          <w:rFonts w:ascii="Times New Roman" w:hAnsi="Times New Roman" w:cs="Times New Roman"/>
          <w:sz w:val="24"/>
          <w:szCs w:val="24"/>
        </w:rPr>
        <w:t xml:space="preserve">les différentes monnaies locales. </w:t>
      </w:r>
      <w:r w:rsidR="009B510D" w:rsidRPr="00AF41CC">
        <w:rPr>
          <w:rFonts w:ascii="Times New Roman" w:hAnsi="Times New Roman" w:cs="Times New Roman"/>
          <w:sz w:val="24"/>
          <w:szCs w:val="24"/>
        </w:rPr>
        <w:t xml:space="preserve">Le pouvoir de battre monnaie fait </w:t>
      </w:r>
      <w:r w:rsidR="00AE2300" w:rsidRPr="00AF41CC">
        <w:rPr>
          <w:rFonts w:ascii="Times New Roman" w:hAnsi="Times New Roman" w:cs="Times New Roman"/>
          <w:sz w:val="24"/>
          <w:szCs w:val="24"/>
        </w:rPr>
        <w:t xml:space="preserve">bien entendu très tôt </w:t>
      </w:r>
      <w:r w:rsidR="009B510D" w:rsidRPr="00AF41CC">
        <w:rPr>
          <w:rFonts w:ascii="Times New Roman" w:hAnsi="Times New Roman" w:cs="Times New Roman"/>
          <w:sz w:val="24"/>
          <w:szCs w:val="24"/>
        </w:rPr>
        <w:t xml:space="preserve">partie des pouvoirs dits « régaliens », mais </w:t>
      </w:r>
      <w:r w:rsidR="00AE2300" w:rsidRPr="00AF41CC">
        <w:rPr>
          <w:rFonts w:ascii="Times New Roman" w:hAnsi="Times New Roman" w:cs="Times New Roman"/>
          <w:sz w:val="24"/>
          <w:szCs w:val="24"/>
        </w:rPr>
        <w:t xml:space="preserve">il n’est pas d’emblée </w:t>
      </w:r>
      <w:r w:rsidR="00180AB9" w:rsidRPr="00AF41CC">
        <w:rPr>
          <w:rFonts w:ascii="Times New Roman" w:hAnsi="Times New Roman" w:cs="Times New Roman"/>
          <w:sz w:val="24"/>
          <w:szCs w:val="24"/>
        </w:rPr>
        <w:t>un pouvoir</w:t>
      </w:r>
      <w:r w:rsidR="00AE2300" w:rsidRPr="00AF41CC">
        <w:rPr>
          <w:rFonts w:ascii="Times New Roman" w:hAnsi="Times New Roman" w:cs="Times New Roman"/>
          <w:sz w:val="24"/>
          <w:szCs w:val="24"/>
        </w:rPr>
        <w:t xml:space="preserve"> exclusif</w:t>
      </w:r>
      <w:r w:rsidR="00180AB9" w:rsidRPr="00AF41CC">
        <w:rPr>
          <w:rFonts w:ascii="Times New Roman" w:hAnsi="Times New Roman" w:cs="Times New Roman"/>
          <w:sz w:val="24"/>
          <w:szCs w:val="24"/>
        </w:rPr>
        <w:t xml:space="preserve"> du roi,</w:t>
      </w:r>
      <w:r w:rsidR="00AE2300" w:rsidRPr="00AF41CC">
        <w:rPr>
          <w:rFonts w:ascii="Times New Roman" w:hAnsi="Times New Roman" w:cs="Times New Roman"/>
          <w:sz w:val="24"/>
          <w:szCs w:val="24"/>
        </w:rPr>
        <w:t xml:space="preserve"> </w:t>
      </w:r>
      <w:r w:rsidR="00332CC0" w:rsidRPr="00AF41CC">
        <w:rPr>
          <w:rFonts w:ascii="Times New Roman" w:hAnsi="Times New Roman" w:cs="Times New Roman"/>
          <w:sz w:val="24"/>
          <w:szCs w:val="24"/>
        </w:rPr>
        <w:t xml:space="preserve">tant il est vrai que </w:t>
      </w:r>
      <w:r w:rsidR="00AE2300" w:rsidRPr="00AF41CC">
        <w:rPr>
          <w:rFonts w:ascii="Times New Roman" w:hAnsi="Times New Roman" w:cs="Times New Roman"/>
          <w:sz w:val="24"/>
          <w:szCs w:val="24"/>
        </w:rPr>
        <w:t xml:space="preserve">plusieurs </w:t>
      </w:r>
      <w:r w:rsidR="009E1629" w:rsidRPr="00AF41CC">
        <w:rPr>
          <w:rFonts w:ascii="Times New Roman" w:hAnsi="Times New Roman" w:cs="Times New Roman"/>
          <w:sz w:val="24"/>
          <w:szCs w:val="24"/>
        </w:rPr>
        <w:t xml:space="preserve">autres </w:t>
      </w:r>
      <w:r w:rsidR="00AE2300" w:rsidRPr="00AF41CC">
        <w:rPr>
          <w:rFonts w:ascii="Times New Roman" w:hAnsi="Times New Roman" w:cs="Times New Roman"/>
          <w:sz w:val="24"/>
          <w:szCs w:val="24"/>
        </w:rPr>
        <w:t xml:space="preserve">pouvoirs </w:t>
      </w:r>
      <w:r w:rsidR="00180AB9" w:rsidRPr="00AF41CC">
        <w:rPr>
          <w:rFonts w:ascii="Times New Roman" w:hAnsi="Times New Roman" w:cs="Times New Roman"/>
          <w:sz w:val="24"/>
          <w:szCs w:val="24"/>
        </w:rPr>
        <w:t>(</w:t>
      </w:r>
      <w:r w:rsidR="005C25A6" w:rsidRPr="00AF41CC">
        <w:rPr>
          <w:rFonts w:ascii="Times New Roman" w:hAnsi="Times New Roman" w:cs="Times New Roman"/>
          <w:sz w:val="24"/>
          <w:szCs w:val="24"/>
        </w:rPr>
        <w:t>seigneurs locaux</w:t>
      </w:r>
      <w:r w:rsidR="00180AB9" w:rsidRPr="00AF41CC">
        <w:rPr>
          <w:rFonts w:ascii="Times New Roman" w:hAnsi="Times New Roman" w:cs="Times New Roman"/>
          <w:sz w:val="24"/>
          <w:szCs w:val="24"/>
        </w:rPr>
        <w:t>,</w:t>
      </w:r>
      <w:r w:rsidR="005C25A6" w:rsidRPr="00AF41CC">
        <w:rPr>
          <w:rFonts w:ascii="Times New Roman" w:hAnsi="Times New Roman" w:cs="Times New Roman"/>
          <w:sz w:val="24"/>
          <w:szCs w:val="24"/>
        </w:rPr>
        <w:t xml:space="preserve"> </w:t>
      </w:r>
      <w:r w:rsidR="00C20A7C" w:rsidRPr="00AF41CC">
        <w:rPr>
          <w:rFonts w:ascii="Times New Roman" w:hAnsi="Times New Roman" w:cs="Times New Roman"/>
          <w:sz w:val="24"/>
          <w:szCs w:val="24"/>
        </w:rPr>
        <w:t xml:space="preserve">comtes, </w:t>
      </w:r>
      <w:r w:rsidR="005C25A6" w:rsidRPr="00AF41CC">
        <w:rPr>
          <w:rFonts w:ascii="Times New Roman" w:hAnsi="Times New Roman" w:cs="Times New Roman"/>
          <w:sz w:val="24"/>
          <w:szCs w:val="24"/>
        </w:rPr>
        <w:t>évêques,</w:t>
      </w:r>
      <w:r w:rsidR="00180AB9" w:rsidRPr="00AF41CC">
        <w:rPr>
          <w:rFonts w:ascii="Times New Roman" w:hAnsi="Times New Roman" w:cs="Times New Roman"/>
          <w:sz w:val="24"/>
          <w:szCs w:val="24"/>
        </w:rPr>
        <w:t xml:space="preserve"> etc…) </w:t>
      </w:r>
      <w:r w:rsidR="00AE2300" w:rsidRPr="00AF41CC">
        <w:rPr>
          <w:rFonts w:ascii="Times New Roman" w:hAnsi="Times New Roman" w:cs="Times New Roman"/>
          <w:sz w:val="24"/>
          <w:szCs w:val="24"/>
        </w:rPr>
        <w:t>entrent en concurrence avec lui</w:t>
      </w:r>
      <w:r w:rsidR="00332CC0" w:rsidRPr="00AF41CC">
        <w:rPr>
          <w:rFonts w:ascii="Times New Roman" w:hAnsi="Times New Roman" w:cs="Times New Roman"/>
          <w:sz w:val="24"/>
          <w:szCs w:val="24"/>
        </w:rPr>
        <w:t xml:space="preserve"> </w:t>
      </w:r>
      <w:r w:rsidR="00C20A7C" w:rsidRPr="00AF41CC">
        <w:rPr>
          <w:rFonts w:ascii="Times New Roman" w:hAnsi="Times New Roman" w:cs="Times New Roman"/>
          <w:sz w:val="24"/>
          <w:szCs w:val="24"/>
        </w:rPr>
        <w:t>pour la frappe des monnaies.</w:t>
      </w:r>
      <w:r w:rsidR="00AE2300" w:rsidRPr="00AF41CC">
        <w:rPr>
          <w:rFonts w:ascii="Times New Roman" w:hAnsi="Times New Roman" w:cs="Times New Roman"/>
          <w:sz w:val="24"/>
          <w:szCs w:val="24"/>
        </w:rPr>
        <w:t xml:space="preserve"> </w:t>
      </w:r>
      <w:r w:rsidR="00594A94" w:rsidRPr="00AF41CC">
        <w:rPr>
          <w:rFonts w:ascii="Times New Roman" w:hAnsi="Times New Roman" w:cs="Times New Roman"/>
          <w:sz w:val="24"/>
          <w:szCs w:val="24"/>
        </w:rPr>
        <w:t xml:space="preserve">Wendy Brown observe à ce sujet </w:t>
      </w:r>
      <w:r w:rsidR="0002730A" w:rsidRPr="00AF41CC">
        <w:rPr>
          <w:rFonts w:ascii="Times New Roman" w:hAnsi="Times New Roman" w:cs="Times New Roman"/>
          <w:sz w:val="24"/>
          <w:szCs w:val="24"/>
        </w:rPr>
        <w:t>que</w:t>
      </w:r>
      <w:r w:rsidR="00112345" w:rsidRPr="00AF41CC">
        <w:rPr>
          <w:rFonts w:ascii="Times New Roman" w:hAnsi="Times New Roman" w:cs="Times New Roman"/>
          <w:sz w:val="24"/>
          <w:szCs w:val="24"/>
        </w:rPr>
        <w:t xml:space="preserve">, dès les origines, </w:t>
      </w:r>
      <w:r w:rsidR="0002730A" w:rsidRPr="00AF41CC">
        <w:rPr>
          <w:rFonts w:ascii="Times New Roman" w:hAnsi="Times New Roman" w:cs="Times New Roman"/>
          <w:sz w:val="24"/>
          <w:szCs w:val="24"/>
        </w:rPr>
        <w:t>la souveraineté</w:t>
      </w:r>
      <w:r w:rsidR="00947181" w:rsidRPr="00AF41CC">
        <w:rPr>
          <w:rFonts w:ascii="Times New Roman" w:hAnsi="Times New Roman" w:cs="Times New Roman"/>
          <w:sz w:val="24"/>
          <w:szCs w:val="24"/>
        </w:rPr>
        <w:t xml:space="preserve"> se définit par </w:t>
      </w:r>
      <w:r w:rsidR="0054076F" w:rsidRPr="00AF41CC">
        <w:rPr>
          <w:rFonts w:ascii="Times New Roman" w:hAnsi="Times New Roman" w:cs="Times New Roman"/>
          <w:sz w:val="24"/>
          <w:szCs w:val="24"/>
        </w:rPr>
        <w:t>s</w:t>
      </w:r>
      <w:r w:rsidR="009B510D" w:rsidRPr="00AF41CC">
        <w:rPr>
          <w:rFonts w:ascii="Times New Roman" w:hAnsi="Times New Roman" w:cs="Times New Roman"/>
          <w:sz w:val="24"/>
          <w:szCs w:val="24"/>
        </w:rPr>
        <w:t>on aspiration à</w:t>
      </w:r>
      <w:r w:rsidR="00364B40" w:rsidRPr="00AF41CC">
        <w:rPr>
          <w:rFonts w:ascii="Times New Roman" w:hAnsi="Times New Roman" w:cs="Times New Roman"/>
          <w:sz w:val="24"/>
          <w:szCs w:val="24"/>
        </w:rPr>
        <w:t xml:space="preserve"> se subordonner</w:t>
      </w:r>
      <w:r w:rsidR="00947181" w:rsidRPr="00AF41CC">
        <w:rPr>
          <w:rFonts w:ascii="Times New Roman" w:hAnsi="Times New Roman" w:cs="Times New Roman"/>
          <w:sz w:val="24"/>
          <w:szCs w:val="24"/>
        </w:rPr>
        <w:t xml:space="preserve"> l’économi</w:t>
      </w:r>
      <w:r w:rsidR="009B510D" w:rsidRPr="00AF41CC">
        <w:rPr>
          <w:rFonts w:ascii="Times New Roman" w:hAnsi="Times New Roman" w:cs="Times New Roman"/>
          <w:sz w:val="24"/>
          <w:szCs w:val="24"/>
        </w:rPr>
        <w:t>que dans le but d’unifier et de consolider le royaume</w:t>
      </w:r>
      <w:r w:rsidR="002006F7" w:rsidRPr="00AF41CC">
        <w:rPr>
          <w:rFonts w:ascii="Times New Roman" w:hAnsi="Times New Roman" w:cs="Times New Roman"/>
          <w:sz w:val="24"/>
          <w:szCs w:val="24"/>
        </w:rPr>
        <w:t> : la souveraineté étatique se</w:t>
      </w:r>
      <w:r w:rsidR="00180AB9" w:rsidRPr="00AF41CC">
        <w:rPr>
          <w:rFonts w:ascii="Times New Roman" w:hAnsi="Times New Roman" w:cs="Times New Roman"/>
          <w:sz w:val="24"/>
          <w:szCs w:val="24"/>
        </w:rPr>
        <w:t>rait</w:t>
      </w:r>
      <w:r w:rsidR="002006F7" w:rsidRPr="00AF41CC">
        <w:rPr>
          <w:rFonts w:ascii="Times New Roman" w:hAnsi="Times New Roman" w:cs="Times New Roman"/>
          <w:sz w:val="24"/>
          <w:szCs w:val="24"/>
        </w:rPr>
        <w:t xml:space="preserve"> ainsi </w:t>
      </w:r>
      <w:r w:rsidR="00180AB9" w:rsidRPr="00AF41CC">
        <w:rPr>
          <w:rFonts w:ascii="Times New Roman" w:hAnsi="Times New Roman" w:cs="Times New Roman"/>
          <w:sz w:val="24"/>
          <w:szCs w:val="24"/>
        </w:rPr>
        <w:t xml:space="preserve">fondée </w:t>
      </w:r>
      <w:r w:rsidR="002006F7" w:rsidRPr="00AF41CC">
        <w:rPr>
          <w:rFonts w:ascii="Times New Roman" w:hAnsi="Times New Roman" w:cs="Times New Roman"/>
          <w:sz w:val="24"/>
          <w:szCs w:val="24"/>
        </w:rPr>
        <w:t xml:space="preserve">sur la négation de pouvoirs politiques et économiques locaux et décentralisés, l’abolition des monnaies locales </w:t>
      </w:r>
      <w:r w:rsidR="00180AB9" w:rsidRPr="00AF41CC">
        <w:rPr>
          <w:rFonts w:ascii="Times New Roman" w:hAnsi="Times New Roman" w:cs="Times New Roman"/>
          <w:sz w:val="24"/>
          <w:szCs w:val="24"/>
        </w:rPr>
        <w:t>visant à abolir les souverainetés locales</w:t>
      </w:r>
      <w:r w:rsidR="00BD1BA2" w:rsidRPr="00AF41CC">
        <w:rPr>
          <w:rStyle w:val="Appelnotedebasdep"/>
          <w:rFonts w:ascii="Times New Roman" w:hAnsi="Times New Roman" w:cs="Times New Roman"/>
          <w:sz w:val="24"/>
          <w:szCs w:val="24"/>
        </w:rPr>
        <w:footnoteReference w:id="1"/>
      </w:r>
      <w:r w:rsidR="0002730A" w:rsidRPr="00AF41CC">
        <w:rPr>
          <w:rFonts w:ascii="Times New Roman" w:hAnsi="Times New Roman" w:cs="Times New Roman"/>
          <w:sz w:val="24"/>
          <w:szCs w:val="24"/>
        </w:rPr>
        <w:t xml:space="preserve">. </w:t>
      </w:r>
      <w:r w:rsidR="00D41270" w:rsidRPr="00AF41CC">
        <w:rPr>
          <w:rFonts w:ascii="Times New Roman" w:hAnsi="Times New Roman" w:cs="Times New Roman"/>
          <w:sz w:val="24"/>
          <w:szCs w:val="24"/>
        </w:rPr>
        <w:t xml:space="preserve">Il n’est alors pas question d’une </w:t>
      </w:r>
      <w:r w:rsidR="009E1629" w:rsidRPr="00AF41CC">
        <w:rPr>
          <w:rFonts w:ascii="Times New Roman" w:hAnsi="Times New Roman" w:cs="Times New Roman"/>
          <w:sz w:val="24"/>
          <w:szCs w:val="24"/>
        </w:rPr>
        <w:t>« </w:t>
      </w:r>
      <w:r w:rsidR="00D41270" w:rsidRPr="00AF41CC">
        <w:rPr>
          <w:rFonts w:ascii="Times New Roman" w:hAnsi="Times New Roman" w:cs="Times New Roman"/>
          <w:sz w:val="24"/>
          <w:szCs w:val="24"/>
        </w:rPr>
        <w:t>souveraineté économique » qui viendrait doubler la souveraineté politique</w:t>
      </w:r>
      <w:r w:rsidR="008F62C5" w:rsidRPr="00AF41CC">
        <w:rPr>
          <w:rFonts w:ascii="Times New Roman" w:hAnsi="Times New Roman" w:cs="Times New Roman"/>
          <w:sz w:val="24"/>
          <w:szCs w:val="24"/>
        </w:rPr>
        <w:t>,</w:t>
      </w:r>
      <w:r w:rsidR="00D41270" w:rsidRPr="00AF41CC">
        <w:rPr>
          <w:rFonts w:ascii="Times New Roman" w:hAnsi="Times New Roman" w:cs="Times New Roman"/>
          <w:sz w:val="24"/>
          <w:szCs w:val="24"/>
        </w:rPr>
        <w:t xml:space="preserve"> mais </w:t>
      </w:r>
      <w:r w:rsidR="008F62C5" w:rsidRPr="00AF41CC">
        <w:rPr>
          <w:rFonts w:ascii="Times New Roman" w:hAnsi="Times New Roman" w:cs="Times New Roman"/>
          <w:sz w:val="24"/>
          <w:szCs w:val="24"/>
        </w:rPr>
        <w:t xml:space="preserve">seulement </w:t>
      </w:r>
      <w:r w:rsidR="009E1629" w:rsidRPr="00AF41CC">
        <w:rPr>
          <w:rFonts w:ascii="Times New Roman" w:hAnsi="Times New Roman" w:cs="Times New Roman"/>
          <w:sz w:val="24"/>
          <w:szCs w:val="24"/>
        </w:rPr>
        <w:t xml:space="preserve">d’une souveraineté étatique qui prétend soumettre </w:t>
      </w:r>
      <w:r w:rsidR="00711B19" w:rsidRPr="00AF41CC">
        <w:rPr>
          <w:rFonts w:ascii="Times New Roman" w:hAnsi="Times New Roman" w:cs="Times New Roman"/>
          <w:sz w:val="24"/>
          <w:szCs w:val="24"/>
        </w:rPr>
        <w:t xml:space="preserve">directement </w:t>
      </w:r>
      <w:r w:rsidR="009E1629" w:rsidRPr="00AF41CC">
        <w:rPr>
          <w:rFonts w:ascii="Times New Roman" w:hAnsi="Times New Roman" w:cs="Times New Roman"/>
          <w:sz w:val="24"/>
          <w:szCs w:val="24"/>
        </w:rPr>
        <w:t xml:space="preserve">l’économique à son contrôle. </w:t>
      </w:r>
    </w:p>
    <w:p w14:paraId="2CAA0A1C" w14:textId="4E426951" w:rsidR="001E150C" w:rsidRPr="00AF41CC" w:rsidRDefault="001E150C" w:rsidP="005D3353">
      <w:pPr>
        <w:spacing w:line="360" w:lineRule="auto"/>
        <w:jc w:val="both"/>
        <w:rPr>
          <w:rFonts w:ascii="Times New Roman" w:hAnsi="Times New Roman" w:cs="Times New Roman"/>
          <w:sz w:val="24"/>
          <w:szCs w:val="24"/>
        </w:rPr>
      </w:pPr>
      <w:r w:rsidRPr="00AF41CC">
        <w:rPr>
          <w:rFonts w:ascii="Times New Roman" w:hAnsi="Times New Roman" w:cs="Times New Roman"/>
          <w:sz w:val="24"/>
          <w:szCs w:val="24"/>
        </w:rPr>
        <w:t>Comme le note</w:t>
      </w:r>
      <w:r w:rsidR="00594A94" w:rsidRPr="00AF41CC">
        <w:rPr>
          <w:rFonts w:ascii="Times New Roman" w:hAnsi="Times New Roman" w:cs="Times New Roman"/>
          <w:sz w:val="24"/>
          <w:szCs w:val="24"/>
        </w:rPr>
        <w:t xml:space="preserve"> justement la philosophe américaine</w:t>
      </w:r>
      <w:r w:rsidRPr="00AF41CC">
        <w:rPr>
          <w:rFonts w:ascii="Times New Roman" w:hAnsi="Times New Roman" w:cs="Times New Roman"/>
          <w:sz w:val="24"/>
          <w:szCs w:val="24"/>
        </w:rPr>
        <w:t xml:space="preserve">, cette thèse diffère profondément de celle </w:t>
      </w:r>
      <w:r w:rsidR="00594A94" w:rsidRPr="00AF41CC">
        <w:rPr>
          <w:rFonts w:ascii="Times New Roman" w:hAnsi="Times New Roman" w:cs="Times New Roman"/>
          <w:sz w:val="24"/>
          <w:szCs w:val="24"/>
        </w:rPr>
        <w:t>de Hardt et Negri qui réduisent la souveraineté politique à n’être qu’une simple forme au service de l’économique</w:t>
      </w:r>
      <w:r w:rsidR="000566CE" w:rsidRPr="00AF41CC">
        <w:rPr>
          <w:rFonts w:ascii="Times New Roman" w:hAnsi="Times New Roman" w:cs="Times New Roman"/>
          <w:sz w:val="24"/>
          <w:szCs w:val="24"/>
        </w:rPr>
        <w:t xml:space="preserve"> </w:t>
      </w:r>
      <w:r w:rsidR="000D01D5" w:rsidRPr="00AF41CC">
        <w:rPr>
          <w:rFonts w:ascii="Times New Roman" w:hAnsi="Times New Roman" w:cs="Times New Roman"/>
          <w:sz w:val="24"/>
          <w:szCs w:val="24"/>
        </w:rPr>
        <w:t xml:space="preserve">: c’est </w:t>
      </w:r>
      <w:r w:rsidR="000566CE" w:rsidRPr="00AF41CC">
        <w:rPr>
          <w:rFonts w:ascii="Times New Roman" w:hAnsi="Times New Roman" w:cs="Times New Roman"/>
          <w:sz w:val="24"/>
          <w:szCs w:val="24"/>
        </w:rPr>
        <w:t xml:space="preserve">en effet </w:t>
      </w:r>
      <w:r w:rsidR="000D01D5" w:rsidRPr="00AF41CC">
        <w:rPr>
          <w:rFonts w:ascii="Times New Roman" w:hAnsi="Times New Roman" w:cs="Times New Roman"/>
          <w:sz w:val="24"/>
          <w:szCs w:val="24"/>
        </w:rPr>
        <w:t>le développement d</w:t>
      </w:r>
      <w:r w:rsidR="000566CE" w:rsidRPr="00AF41CC">
        <w:rPr>
          <w:rFonts w:ascii="Times New Roman" w:hAnsi="Times New Roman" w:cs="Times New Roman"/>
          <w:sz w:val="24"/>
          <w:szCs w:val="24"/>
        </w:rPr>
        <w:t>u capital</w:t>
      </w:r>
      <w:r w:rsidR="009E449C" w:rsidRPr="00AF41CC">
        <w:rPr>
          <w:rFonts w:ascii="Times New Roman" w:hAnsi="Times New Roman" w:cs="Times New Roman"/>
          <w:sz w:val="24"/>
          <w:szCs w:val="24"/>
        </w:rPr>
        <w:t xml:space="preserve"> qui, via </w:t>
      </w:r>
      <w:r w:rsidR="000D01D5" w:rsidRPr="00AF41CC">
        <w:rPr>
          <w:rFonts w:ascii="Times New Roman" w:hAnsi="Times New Roman" w:cs="Times New Roman"/>
          <w:sz w:val="24"/>
          <w:szCs w:val="24"/>
        </w:rPr>
        <w:t>l’</w:t>
      </w:r>
      <w:r w:rsidR="002006F7" w:rsidRPr="00AF41CC">
        <w:rPr>
          <w:rFonts w:ascii="Times New Roman" w:hAnsi="Times New Roman" w:cs="Times New Roman"/>
          <w:sz w:val="24"/>
          <w:szCs w:val="24"/>
        </w:rPr>
        <w:t xml:space="preserve">expansion </w:t>
      </w:r>
      <w:r w:rsidR="000D01D5" w:rsidRPr="00AF41CC">
        <w:rPr>
          <w:rFonts w:ascii="Times New Roman" w:hAnsi="Times New Roman" w:cs="Times New Roman"/>
          <w:sz w:val="24"/>
          <w:szCs w:val="24"/>
        </w:rPr>
        <w:t>du marché</w:t>
      </w:r>
      <w:r w:rsidR="009E449C" w:rsidRPr="00AF41CC">
        <w:rPr>
          <w:rFonts w:ascii="Times New Roman" w:hAnsi="Times New Roman" w:cs="Times New Roman"/>
          <w:sz w:val="24"/>
          <w:szCs w:val="24"/>
        </w:rPr>
        <w:t xml:space="preserve">, </w:t>
      </w:r>
      <w:r w:rsidR="000D01D5" w:rsidRPr="00AF41CC">
        <w:rPr>
          <w:rFonts w:ascii="Times New Roman" w:hAnsi="Times New Roman" w:cs="Times New Roman"/>
          <w:sz w:val="24"/>
          <w:szCs w:val="24"/>
        </w:rPr>
        <w:t>« remplit et soutient la forme de l’autorité souveraine »</w:t>
      </w:r>
      <w:r w:rsidR="00582DD5" w:rsidRPr="00AF41CC">
        <w:rPr>
          <w:rFonts w:ascii="Times New Roman" w:hAnsi="Times New Roman" w:cs="Times New Roman"/>
          <w:sz w:val="24"/>
          <w:szCs w:val="24"/>
        </w:rPr>
        <w:t>, forme</w:t>
      </w:r>
      <w:r w:rsidR="000D01D5" w:rsidRPr="00AF41CC">
        <w:rPr>
          <w:rFonts w:ascii="Times New Roman" w:hAnsi="Times New Roman" w:cs="Times New Roman"/>
          <w:sz w:val="24"/>
          <w:szCs w:val="24"/>
        </w:rPr>
        <w:t xml:space="preserve"> </w:t>
      </w:r>
      <w:r w:rsidR="00582DD5" w:rsidRPr="00AF41CC">
        <w:rPr>
          <w:rFonts w:ascii="Times New Roman" w:hAnsi="Times New Roman" w:cs="Times New Roman"/>
          <w:sz w:val="24"/>
          <w:szCs w:val="24"/>
        </w:rPr>
        <w:t xml:space="preserve">impuissante </w:t>
      </w:r>
      <w:r w:rsidR="000D01D5" w:rsidRPr="00AF41CC">
        <w:rPr>
          <w:rFonts w:ascii="Times New Roman" w:hAnsi="Times New Roman" w:cs="Times New Roman"/>
          <w:sz w:val="24"/>
          <w:szCs w:val="24"/>
        </w:rPr>
        <w:t xml:space="preserve">réduite </w:t>
      </w:r>
      <w:r w:rsidR="00582DD5" w:rsidRPr="00AF41CC">
        <w:rPr>
          <w:rFonts w:ascii="Times New Roman" w:hAnsi="Times New Roman" w:cs="Times New Roman"/>
          <w:sz w:val="24"/>
          <w:szCs w:val="24"/>
        </w:rPr>
        <w:t xml:space="preserve">en elle-même </w:t>
      </w:r>
      <w:r w:rsidR="000D01D5" w:rsidRPr="00AF41CC">
        <w:rPr>
          <w:rFonts w:ascii="Times New Roman" w:hAnsi="Times New Roman" w:cs="Times New Roman"/>
          <w:sz w:val="24"/>
          <w:szCs w:val="24"/>
        </w:rPr>
        <w:t xml:space="preserve">à la figure </w:t>
      </w:r>
      <w:r w:rsidR="00582DD5" w:rsidRPr="00AF41CC">
        <w:rPr>
          <w:rFonts w:ascii="Times New Roman" w:hAnsi="Times New Roman" w:cs="Times New Roman"/>
          <w:sz w:val="24"/>
          <w:szCs w:val="24"/>
        </w:rPr>
        <w:t xml:space="preserve">monarchique </w:t>
      </w:r>
      <w:r w:rsidR="000D01D5" w:rsidRPr="00AF41CC">
        <w:rPr>
          <w:rFonts w:ascii="Times New Roman" w:hAnsi="Times New Roman" w:cs="Times New Roman"/>
          <w:sz w:val="24"/>
          <w:szCs w:val="24"/>
        </w:rPr>
        <w:t xml:space="preserve">d’un </w:t>
      </w:r>
      <w:r w:rsidR="00582DD5" w:rsidRPr="00AF41CC">
        <w:rPr>
          <w:rFonts w:ascii="Times New Roman" w:hAnsi="Times New Roman" w:cs="Times New Roman"/>
          <w:sz w:val="24"/>
          <w:szCs w:val="24"/>
        </w:rPr>
        <w:t>« </w:t>
      </w:r>
      <w:r w:rsidR="000D01D5" w:rsidRPr="00AF41CC">
        <w:rPr>
          <w:rFonts w:ascii="Times New Roman" w:hAnsi="Times New Roman" w:cs="Times New Roman"/>
          <w:sz w:val="24"/>
          <w:szCs w:val="24"/>
        </w:rPr>
        <w:t>pouvoir transcendant unique »</w:t>
      </w:r>
      <w:r w:rsidR="00582DD5" w:rsidRPr="00AF41CC">
        <w:rPr>
          <w:rFonts w:ascii="Times New Roman" w:hAnsi="Times New Roman" w:cs="Times New Roman"/>
          <w:sz w:val="24"/>
          <w:szCs w:val="24"/>
        </w:rPr>
        <w:t xml:space="preserve">. </w:t>
      </w:r>
      <w:r w:rsidR="00B1453F" w:rsidRPr="00AF41CC">
        <w:rPr>
          <w:rFonts w:ascii="Times New Roman" w:hAnsi="Times New Roman" w:cs="Times New Roman"/>
          <w:sz w:val="24"/>
          <w:szCs w:val="24"/>
        </w:rPr>
        <w:t>E</w:t>
      </w:r>
      <w:r w:rsidR="00582DD5" w:rsidRPr="00AF41CC">
        <w:rPr>
          <w:rFonts w:ascii="Times New Roman" w:hAnsi="Times New Roman" w:cs="Times New Roman"/>
          <w:sz w:val="24"/>
          <w:szCs w:val="24"/>
        </w:rPr>
        <w:t>n conséquence</w:t>
      </w:r>
      <w:r w:rsidR="004F348F" w:rsidRPr="00AF41CC">
        <w:rPr>
          <w:rFonts w:ascii="Times New Roman" w:hAnsi="Times New Roman" w:cs="Times New Roman"/>
          <w:sz w:val="24"/>
          <w:szCs w:val="24"/>
        </w:rPr>
        <w:t xml:space="preserve"> de ce</w:t>
      </w:r>
      <w:r w:rsidR="0096577B" w:rsidRPr="00AF41CC">
        <w:rPr>
          <w:rFonts w:ascii="Times New Roman" w:hAnsi="Times New Roman" w:cs="Times New Roman"/>
          <w:sz w:val="24"/>
          <w:szCs w:val="24"/>
        </w:rPr>
        <w:t xml:space="preserve"> présupposé, </w:t>
      </w:r>
      <w:r w:rsidR="00582DD5" w:rsidRPr="00AF41CC">
        <w:rPr>
          <w:rFonts w:ascii="Times New Roman" w:hAnsi="Times New Roman" w:cs="Times New Roman"/>
          <w:sz w:val="24"/>
          <w:szCs w:val="24"/>
        </w:rPr>
        <w:t xml:space="preserve">la théorie de la valeur de Smith </w:t>
      </w:r>
      <w:r w:rsidR="00C548F0" w:rsidRPr="00AF41CC">
        <w:rPr>
          <w:rFonts w:ascii="Times New Roman" w:hAnsi="Times New Roman" w:cs="Times New Roman"/>
          <w:sz w:val="24"/>
          <w:szCs w:val="24"/>
        </w:rPr>
        <w:t xml:space="preserve">se voit </w:t>
      </w:r>
      <w:r w:rsidR="005977FC" w:rsidRPr="00AF41CC">
        <w:rPr>
          <w:rFonts w:ascii="Times New Roman" w:hAnsi="Times New Roman" w:cs="Times New Roman"/>
          <w:sz w:val="24"/>
          <w:szCs w:val="24"/>
        </w:rPr>
        <w:t xml:space="preserve">étrangement </w:t>
      </w:r>
      <w:r w:rsidR="00C548F0" w:rsidRPr="00AF41CC">
        <w:rPr>
          <w:rFonts w:ascii="Times New Roman" w:hAnsi="Times New Roman" w:cs="Times New Roman"/>
          <w:sz w:val="24"/>
          <w:szCs w:val="24"/>
        </w:rPr>
        <w:t>reconnue comme</w:t>
      </w:r>
      <w:r w:rsidR="00582DD5" w:rsidRPr="00AF41CC">
        <w:rPr>
          <w:rFonts w:ascii="Times New Roman" w:hAnsi="Times New Roman" w:cs="Times New Roman"/>
          <w:sz w:val="24"/>
          <w:szCs w:val="24"/>
        </w:rPr>
        <w:t xml:space="preserve"> « l’âme et la substance du concept de l’Etat souverain moderne »</w:t>
      </w:r>
      <w:r w:rsidR="00FB4CC7" w:rsidRPr="00AF41CC">
        <w:rPr>
          <w:rFonts w:ascii="Times New Roman" w:hAnsi="Times New Roman" w:cs="Times New Roman"/>
          <w:sz w:val="24"/>
          <w:szCs w:val="24"/>
        </w:rPr>
        <w:t>, ce qui laisse pour le moins perplexe</w:t>
      </w:r>
      <w:r w:rsidR="00582DD5" w:rsidRPr="00AF41CC">
        <w:rPr>
          <w:rStyle w:val="Appelnotedebasdep"/>
          <w:rFonts w:ascii="Times New Roman" w:hAnsi="Times New Roman" w:cs="Times New Roman"/>
          <w:sz w:val="24"/>
          <w:szCs w:val="24"/>
        </w:rPr>
        <w:footnoteReference w:id="2"/>
      </w:r>
      <w:r w:rsidR="00582DD5" w:rsidRPr="00AF41CC">
        <w:rPr>
          <w:rFonts w:ascii="Times New Roman" w:hAnsi="Times New Roman" w:cs="Times New Roman"/>
          <w:sz w:val="24"/>
          <w:szCs w:val="24"/>
        </w:rPr>
        <w:t xml:space="preserve">. </w:t>
      </w:r>
      <w:r w:rsidR="00125CB2" w:rsidRPr="00AF41CC">
        <w:rPr>
          <w:rFonts w:ascii="Times New Roman" w:hAnsi="Times New Roman" w:cs="Times New Roman"/>
          <w:sz w:val="24"/>
          <w:szCs w:val="24"/>
        </w:rPr>
        <w:t xml:space="preserve">Contre cette thèse, qui lui paraît </w:t>
      </w:r>
      <w:r w:rsidR="00112345" w:rsidRPr="00AF41CC">
        <w:rPr>
          <w:rFonts w:ascii="Times New Roman" w:hAnsi="Times New Roman" w:cs="Times New Roman"/>
          <w:sz w:val="24"/>
          <w:szCs w:val="24"/>
        </w:rPr>
        <w:t xml:space="preserve">non sans raison </w:t>
      </w:r>
      <w:r w:rsidR="00125CB2" w:rsidRPr="00AF41CC">
        <w:rPr>
          <w:rFonts w:ascii="Times New Roman" w:hAnsi="Times New Roman" w:cs="Times New Roman"/>
          <w:sz w:val="24"/>
          <w:szCs w:val="24"/>
        </w:rPr>
        <w:t>relever d’une sorte de « réflexe marxiste »</w:t>
      </w:r>
      <w:r w:rsidR="0027787B" w:rsidRPr="00AF41CC">
        <w:rPr>
          <w:rStyle w:val="Appelnotedebasdep"/>
          <w:rFonts w:ascii="Times New Roman" w:hAnsi="Times New Roman" w:cs="Times New Roman"/>
          <w:sz w:val="24"/>
          <w:szCs w:val="24"/>
        </w:rPr>
        <w:footnoteReference w:id="3"/>
      </w:r>
      <w:r w:rsidR="00125CB2" w:rsidRPr="00AF41CC">
        <w:rPr>
          <w:rFonts w:ascii="Times New Roman" w:hAnsi="Times New Roman" w:cs="Times New Roman"/>
          <w:sz w:val="24"/>
          <w:szCs w:val="24"/>
        </w:rPr>
        <w:t xml:space="preserve">, </w:t>
      </w:r>
      <w:r w:rsidR="0096577B" w:rsidRPr="00AF41CC">
        <w:rPr>
          <w:rFonts w:ascii="Times New Roman" w:hAnsi="Times New Roman" w:cs="Times New Roman"/>
          <w:sz w:val="24"/>
          <w:szCs w:val="24"/>
        </w:rPr>
        <w:t xml:space="preserve">W. Brown </w:t>
      </w:r>
      <w:r w:rsidR="00DA3A71" w:rsidRPr="00AF41CC">
        <w:rPr>
          <w:rFonts w:ascii="Times New Roman" w:hAnsi="Times New Roman" w:cs="Times New Roman"/>
          <w:sz w:val="24"/>
          <w:szCs w:val="24"/>
        </w:rPr>
        <w:t xml:space="preserve">s’attache à mettre en valeur la dimension théologique de la souveraineté politique en tant que </w:t>
      </w:r>
      <w:r w:rsidR="002006F7" w:rsidRPr="00AF41CC">
        <w:rPr>
          <w:rFonts w:ascii="Times New Roman" w:hAnsi="Times New Roman" w:cs="Times New Roman"/>
          <w:sz w:val="24"/>
          <w:szCs w:val="24"/>
        </w:rPr>
        <w:t>« </w:t>
      </w:r>
      <w:r w:rsidR="00B1453F" w:rsidRPr="00AF41CC">
        <w:rPr>
          <w:rFonts w:ascii="Times New Roman" w:hAnsi="Times New Roman" w:cs="Times New Roman"/>
          <w:sz w:val="24"/>
          <w:szCs w:val="24"/>
        </w:rPr>
        <w:t xml:space="preserve">puissante </w:t>
      </w:r>
      <w:r w:rsidR="00DA3A71" w:rsidRPr="00AF41CC">
        <w:rPr>
          <w:rFonts w:ascii="Times New Roman" w:hAnsi="Times New Roman" w:cs="Times New Roman"/>
          <w:sz w:val="24"/>
          <w:szCs w:val="24"/>
        </w:rPr>
        <w:t>fiction</w:t>
      </w:r>
      <w:r w:rsidR="00B1453F" w:rsidRPr="00AF41CC">
        <w:rPr>
          <w:rFonts w:ascii="Times New Roman" w:hAnsi="Times New Roman" w:cs="Times New Roman"/>
          <w:sz w:val="24"/>
          <w:szCs w:val="24"/>
        </w:rPr>
        <w:t xml:space="preserve"> matérielle</w:t>
      </w:r>
      <w:r w:rsidR="002006F7" w:rsidRPr="00AF41CC">
        <w:rPr>
          <w:rFonts w:ascii="Times New Roman" w:hAnsi="Times New Roman" w:cs="Times New Roman"/>
          <w:sz w:val="24"/>
          <w:szCs w:val="24"/>
        </w:rPr>
        <w:t> »</w:t>
      </w:r>
      <w:r w:rsidR="00DA3A71" w:rsidRPr="00AF41CC">
        <w:rPr>
          <w:rFonts w:ascii="Times New Roman" w:hAnsi="Times New Roman" w:cs="Times New Roman"/>
          <w:sz w:val="24"/>
          <w:szCs w:val="24"/>
        </w:rPr>
        <w:t xml:space="preserve">. </w:t>
      </w:r>
    </w:p>
    <w:p w14:paraId="6C88048A" w14:textId="69D26A11" w:rsidR="003B767D" w:rsidRPr="00AF41CC" w:rsidRDefault="003B767D" w:rsidP="005D3353">
      <w:pPr>
        <w:spacing w:line="360" w:lineRule="auto"/>
        <w:jc w:val="both"/>
        <w:rPr>
          <w:rFonts w:ascii="Times New Roman" w:hAnsi="Times New Roman" w:cs="Times New Roman"/>
          <w:sz w:val="24"/>
          <w:szCs w:val="24"/>
        </w:rPr>
      </w:pPr>
      <w:r w:rsidRPr="00AF41CC">
        <w:rPr>
          <w:rFonts w:ascii="Times New Roman" w:hAnsi="Times New Roman" w:cs="Times New Roman"/>
          <w:sz w:val="24"/>
          <w:szCs w:val="24"/>
        </w:rPr>
        <w:t xml:space="preserve">En vérité, tous les grands événements géopolitiques récents, toutes les confrontations, tous les jeux de rivalité montrent à quel point la souveraineté politique n’est pas saisissable dans les seules coordonnées de la rationalité capitaliste. L’invasion de l’Ukraine par les armées de la Fédération de Russie, phénomène historique considérable qui ébranle le continent européen et </w:t>
      </w:r>
      <w:r w:rsidRPr="00AF41CC">
        <w:rPr>
          <w:rFonts w:ascii="Times New Roman" w:hAnsi="Times New Roman" w:cs="Times New Roman"/>
          <w:sz w:val="24"/>
          <w:szCs w:val="24"/>
        </w:rPr>
        <w:lastRenderedPageBreak/>
        <w:t xml:space="preserve">l’organisation politico-juridique mondiale, apporte aujourd’hui la preuve la plus dramatique que la souveraineté étatique demeure une dimension qui ne peut se réduire à la seule économie capitaliste. </w:t>
      </w:r>
      <w:r w:rsidR="00693563" w:rsidRPr="00AF41CC">
        <w:rPr>
          <w:rFonts w:ascii="Times New Roman" w:hAnsi="Times New Roman" w:cs="Times New Roman"/>
          <w:sz w:val="24"/>
          <w:szCs w:val="24"/>
        </w:rPr>
        <w:t>La conduite de Poutine apparaît à cet égard comme la culmination fanatique et délirante de la logique de la souveraineté de l’Etat. Le nationalisme grand russe</w:t>
      </w:r>
      <w:r w:rsidR="00047706" w:rsidRPr="00AF41CC">
        <w:rPr>
          <w:rFonts w:ascii="Times New Roman" w:hAnsi="Times New Roman" w:cs="Times New Roman"/>
          <w:sz w:val="24"/>
          <w:szCs w:val="24"/>
        </w:rPr>
        <w:t xml:space="preserve"> </w:t>
      </w:r>
      <w:r w:rsidR="00693563" w:rsidRPr="00AF41CC">
        <w:rPr>
          <w:rFonts w:ascii="Times New Roman" w:hAnsi="Times New Roman" w:cs="Times New Roman"/>
          <w:sz w:val="24"/>
          <w:szCs w:val="24"/>
        </w:rPr>
        <w:t>s’y déchaîne sans retenue</w:t>
      </w:r>
      <w:r w:rsidR="00047706" w:rsidRPr="00AF41CC">
        <w:rPr>
          <w:rFonts w:ascii="Times New Roman" w:hAnsi="Times New Roman" w:cs="Times New Roman"/>
          <w:sz w:val="24"/>
          <w:szCs w:val="24"/>
        </w:rPr>
        <w:t>, notamment à travers l’invocation de la figure de Staline</w:t>
      </w:r>
      <w:r w:rsidR="00BC2220" w:rsidRPr="00AF41CC">
        <w:rPr>
          <w:rFonts w:ascii="Times New Roman" w:hAnsi="Times New Roman" w:cs="Times New Roman"/>
          <w:sz w:val="24"/>
          <w:szCs w:val="24"/>
        </w:rPr>
        <w:t xml:space="preserve"> magnifiée en dirigeant de la « guerre patriotique » contre le nazisme</w:t>
      </w:r>
      <w:r w:rsidR="00693563" w:rsidRPr="00AF41CC">
        <w:rPr>
          <w:rFonts w:ascii="Times New Roman" w:hAnsi="Times New Roman" w:cs="Times New Roman"/>
          <w:sz w:val="24"/>
          <w:szCs w:val="24"/>
        </w:rPr>
        <w:t>.</w:t>
      </w:r>
      <w:r w:rsidR="00BC2220" w:rsidRPr="00AF41CC">
        <w:rPr>
          <w:rFonts w:ascii="Times New Roman" w:hAnsi="Times New Roman" w:cs="Times New Roman"/>
          <w:sz w:val="24"/>
          <w:szCs w:val="24"/>
        </w:rPr>
        <w:t xml:space="preserve"> Ses racines plongent dans l’histoire la plus lointaine, celle de l’empire des tsars, </w:t>
      </w:r>
      <w:r w:rsidRPr="00AF41CC">
        <w:rPr>
          <w:rFonts w:ascii="Times New Roman" w:hAnsi="Times New Roman" w:cs="Times New Roman"/>
          <w:sz w:val="24"/>
          <w:szCs w:val="24"/>
        </w:rPr>
        <w:t xml:space="preserve">et </w:t>
      </w:r>
      <w:r w:rsidR="00BC2220" w:rsidRPr="00AF41CC">
        <w:rPr>
          <w:rFonts w:ascii="Times New Roman" w:hAnsi="Times New Roman" w:cs="Times New Roman"/>
          <w:sz w:val="24"/>
          <w:szCs w:val="24"/>
        </w:rPr>
        <w:t xml:space="preserve">donnent à la souveraineté étatique une </w:t>
      </w:r>
      <w:r w:rsidRPr="00AF41CC">
        <w:rPr>
          <w:rFonts w:ascii="Times New Roman" w:hAnsi="Times New Roman" w:cs="Times New Roman"/>
          <w:sz w:val="24"/>
          <w:szCs w:val="24"/>
        </w:rPr>
        <w:t>portée souvent beaucoup plus lourde</w:t>
      </w:r>
      <w:r w:rsidR="00693563" w:rsidRPr="00AF41CC">
        <w:rPr>
          <w:rFonts w:ascii="Times New Roman" w:hAnsi="Times New Roman" w:cs="Times New Roman"/>
          <w:sz w:val="24"/>
          <w:szCs w:val="24"/>
        </w:rPr>
        <w:t>,</w:t>
      </w:r>
      <w:r w:rsidRPr="00AF41CC">
        <w:rPr>
          <w:rFonts w:ascii="Times New Roman" w:hAnsi="Times New Roman" w:cs="Times New Roman"/>
          <w:sz w:val="24"/>
          <w:szCs w:val="24"/>
        </w:rPr>
        <w:t xml:space="preserve"> du fait de sa nature mystique, que la logique des intérêts immédiats des oligarchies économiques et financières. </w:t>
      </w:r>
    </w:p>
    <w:p w14:paraId="6ECB2817" w14:textId="303E87ED" w:rsidR="004F6818" w:rsidRPr="00AF41CC" w:rsidRDefault="004F6818" w:rsidP="005D3353">
      <w:pPr>
        <w:spacing w:line="360" w:lineRule="auto"/>
        <w:jc w:val="both"/>
        <w:rPr>
          <w:rFonts w:ascii="Times New Roman" w:hAnsi="Times New Roman" w:cs="Times New Roman"/>
          <w:b/>
          <w:bCs/>
          <w:sz w:val="24"/>
          <w:szCs w:val="24"/>
        </w:rPr>
      </w:pPr>
      <w:r w:rsidRPr="00AF41CC">
        <w:rPr>
          <w:rFonts w:ascii="Times New Roman" w:hAnsi="Times New Roman" w:cs="Times New Roman"/>
          <w:b/>
          <w:bCs/>
          <w:sz w:val="24"/>
          <w:szCs w:val="24"/>
        </w:rPr>
        <w:t xml:space="preserve">La souveraineté politique : une simple </w:t>
      </w:r>
      <w:r w:rsidR="00C20A7C" w:rsidRPr="00AF41CC">
        <w:rPr>
          <w:rFonts w:ascii="Times New Roman" w:hAnsi="Times New Roman" w:cs="Times New Roman"/>
          <w:b/>
          <w:bCs/>
          <w:sz w:val="24"/>
          <w:szCs w:val="24"/>
        </w:rPr>
        <w:t>« </w:t>
      </w:r>
      <w:r w:rsidRPr="00AF41CC">
        <w:rPr>
          <w:rFonts w:ascii="Times New Roman" w:hAnsi="Times New Roman" w:cs="Times New Roman"/>
          <w:b/>
          <w:bCs/>
          <w:sz w:val="24"/>
          <w:szCs w:val="24"/>
        </w:rPr>
        <w:t>forme</w:t>
      </w:r>
      <w:r w:rsidR="00C20A7C" w:rsidRPr="00AF41CC">
        <w:rPr>
          <w:rFonts w:ascii="Times New Roman" w:hAnsi="Times New Roman" w:cs="Times New Roman"/>
          <w:b/>
          <w:bCs/>
          <w:sz w:val="24"/>
          <w:szCs w:val="24"/>
        </w:rPr>
        <w:t> »</w:t>
      </w:r>
      <w:r w:rsidRPr="00AF41CC">
        <w:rPr>
          <w:rFonts w:ascii="Times New Roman" w:hAnsi="Times New Roman" w:cs="Times New Roman"/>
          <w:b/>
          <w:bCs/>
          <w:sz w:val="24"/>
          <w:szCs w:val="24"/>
        </w:rPr>
        <w:t xml:space="preserve"> ? </w:t>
      </w:r>
    </w:p>
    <w:p w14:paraId="31DD329A" w14:textId="449D2853" w:rsidR="003E6316" w:rsidRPr="00AF41CC" w:rsidRDefault="00BC2220" w:rsidP="005D3353">
      <w:pPr>
        <w:spacing w:line="360" w:lineRule="auto"/>
        <w:jc w:val="both"/>
        <w:rPr>
          <w:rFonts w:ascii="Times New Roman" w:hAnsi="Times New Roman" w:cs="Times New Roman"/>
          <w:sz w:val="24"/>
          <w:szCs w:val="24"/>
        </w:rPr>
      </w:pPr>
      <w:r w:rsidRPr="00AF41CC">
        <w:rPr>
          <w:rFonts w:ascii="Times New Roman" w:hAnsi="Times New Roman" w:cs="Times New Roman"/>
          <w:sz w:val="24"/>
          <w:szCs w:val="24"/>
        </w:rPr>
        <w:t xml:space="preserve">C’est </w:t>
      </w:r>
      <w:r w:rsidR="00D03054" w:rsidRPr="00AF41CC">
        <w:rPr>
          <w:rFonts w:ascii="Times New Roman" w:hAnsi="Times New Roman" w:cs="Times New Roman"/>
          <w:sz w:val="24"/>
          <w:szCs w:val="24"/>
        </w:rPr>
        <w:t>toute cette dimension</w:t>
      </w:r>
      <w:r w:rsidRPr="00AF41CC">
        <w:rPr>
          <w:rFonts w:ascii="Times New Roman" w:hAnsi="Times New Roman" w:cs="Times New Roman"/>
          <w:sz w:val="24"/>
          <w:szCs w:val="24"/>
        </w:rPr>
        <w:t xml:space="preserve"> que se condamne à manquer </w:t>
      </w:r>
      <w:r w:rsidR="002B4ECF" w:rsidRPr="00AF41CC">
        <w:rPr>
          <w:rFonts w:ascii="Times New Roman" w:hAnsi="Times New Roman" w:cs="Times New Roman"/>
          <w:sz w:val="24"/>
          <w:szCs w:val="24"/>
        </w:rPr>
        <w:t>la réduction de la souveraineté politique à une forme en elle-même vide</w:t>
      </w:r>
      <w:r w:rsidR="00405B9A" w:rsidRPr="00AF41CC">
        <w:rPr>
          <w:rFonts w:ascii="Times New Roman" w:hAnsi="Times New Roman" w:cs="Times New Roman"/>
          <w:sz w:val="24"/>
          <w:szCs w:val="24"/>
        </w:rPr>
        <w:t>,</w:t>
      </w:r>
      <w:r w:rsidR="002B4ECF" w:rsidRPr="00AF41CC">
        <w:rPr>
          <w:rFonts w:ascii="Times New Roman" w:hAnsi="Times New Roman" w:cs="Times New Roman"/>
          <w:sz w:val="24"/>
          <w:szCs w:val="24"/>
        </w:rPr>
        <w:t xml:space="preserve"> </w:t>
      </w:r>
      <w:r w:rsidR="00405B9A" w:rsidRPr="00AF41CC">
        <w:rPr>
          <w:rFonts w:ascii="Times New Roman" w:hAnsi="Times New Roman" w:cs="Times New Roman"/>
          <w:sz w:val="24"/>
          <w:szCs w:val="24"/>
        </w:rPr>
        <w:t xml:space="preserve">selon </w:t>
      </w:r>
      <w:r w:rsidR="002B4ECF" w:rsidRPr="00AF41CC">
        <w:rPr>
          <w:rFonts w:ascii="Times New Roman" w:hAnsi="Times New Roman" w:cs="Times New Roman"/>
          <w:sz w:val="24"/>
          <w:szCs w:val="24"/>
        </w:rPr>
        <w:t>la logique d’un « hypermarxisme » soucieux de trouver dans l</w:t>
      </w:r>
      <w:r w:rsidR="00E86B81" w:rsidRPr="00AF41CC">
        <w:rPr>
          <w:rFonts w:ascii="Times New Roman" w:hAnsi="Times New Roman" w:cs="Times New Roman"/>
          <w:sz w:val="24"/>
          <w:szCs w:val="24"/>
        </w:rPr>
        <w:t>’</w:t>
      </w:r>
      <w:r w:rsidR="002B4ECF" w:rsidRPr="00AF41CC">
        <w:rPr>
          <w:rFonts w:ascii="Times New Roman" w:hAnsi="Times New Roman" w:cs="Times New Roman"/>
          <w:sz w:val="24"/>
          <w:szCs w:val="24"/>
        </w:rPr>
        <w:t xml:space="preserve">économie </w:t>
      </w:r>
      <w:r w:rsidR="00253FB3" w:rsidRPr="00AF41CC">
        <w:rPr>
          <w:rFonts w:ascii="Times New Roman" w:hAnsi="Times New Roman" w:cs="Times New Roman"/>
          <w:sz w:val="24"/>
          <w:szCs w:val="24"/>
        </w:rPr>
        <w:t>la clé</w:t>
      </w:r>
      <w:r w:rsidR="002B4ECF" w:rsidRPr="00AF41CC">
        <w:rPr>
          <w:rFonts w:ascii="Times New Roman" w:hAnsi="Times New Roman" w:cs="Times New Roman"/>
          <w:sz w:val="24"/>
          <w:szCs w:val="24"/>
        </w:rPr>
        <w:t xml:space="preserve"> de la</w:t>
      </w:r>
      <w:r w:rsidR="004F6818" w:rsidRPr="00AF41CC">
        <w:rPr>
          <w:rFonts w:ascii="Times New Roman" w:hAnsi="Times New Roman" w:cs="Times New Roman"/>
          <w:sz w:val="24"/>
          <w:szCs w:val="24"/>
        </w:rPr>
        <w:t xml:space="preserve"> « </w:t>
      </w:r>
      <w:r w:rsidR="00DF19C6" w:rsidRPr="00AF41CC">
        <w:rPr>
          <w:rFonts w:ascii="Times New Roman" w:hAnsi="Times New Roman" w:cs="Times New Roman"/>
          <w:sz w:val="24"/>
          <w:szCs w:val="24"/>
        </w:rPr>
        <w:t>superstructure</w:t>
      </w:r>
      <w:r w:rsidR="004F6818" w:rsidRPr="00AF41CC">
        <w:rPr>
          <w:rFonts w:ascii="Times New Roman" w:hAnsi="Times New Roman" w:cs="Times New Roman"/>
          <w:sz w:val="24"/>
          <w:szCs w:val="24"/>
        </w:rPr>
        <w:t> »</w:t>
      </w:r>
      <w:r w:rsidR="00DF19C6" w:rsidRPr="00AF41CC">
        <w:rPr>
          <w:rFonts w:ascii="Times New Roman" w:hAnsi="Times New Roman" w:cs="Times New Roman"/>
          <w:sz w:val="24"/>
          <w:szCs w:val="24"/>
        </w:rPr>
        <w:t xml:space="preserve"> politique. On sait que</w:t>
      </w:r>
      <w:r w:rsidR="004F6818" w:rsidRPr="00AF41CC">
        <w:rPr>
          <w:rFonts w:ascii="Times New Roman" w:hAnsi="Times New Roman" w:cs="Times New Roman"/>
          <w:sz w:val="24"/>
          <w:szCs w:val="24"/>
        </w:rPr>
        <w:t>,</w:t>
      </w:r>
      <w:r w:rsidR="00DF19C6" w:rsidRPr="00AF41CC">
        <w:rPr>
          <w:rFonts w:ascii="Times New Roman" w:hAnsi="Times New Roman" w:cs="Times New Roman"/>
          <w:sz w:val="24"/>
          <w:szCs w:val="24"/>
        </w:rPr>
        <w:t xml:space="preserve"> dans le discours du </w:t>
      </w:r>
      <w:r w:rsidR="00DF19C6" w:rsidRPr="00AF41CC">
        <w:rPr>
          <w:rFonts w:ascii="Times New Roman" w:hAnsi="Times New Roman" w:cs="Times New Roman"/>
          <w:i/>
          <w:iCs/>
          <w:sz w:val="24"/>
          <w:szCs w:val="24"/>
        </w:rPr>
        <w:t>Manifeste communiste</w:t>
      </w:r>
      <w:r w:rsidR="00AE2300" w:rsidRPr="00AF41CC">
        <w:rPr>
          <w:rFonts w:ascii="Times New Roman" w:hAnsi="Times New Roman" w:cs="Times New Roman"/>
          <w:i/>
          <w:iCs/>
          <w:sz w:val="24"/>
          <w:szCs w:val="24"/>
        </w:rPr>
        <w:t>,</w:t>
      </w:r>
      <w:r w:rsidR="00DF19C6" w:rsidRPr="00AF41CC">
        <w:rPr>
          <w:rFonts w:ascii="Times New Roman" w:hAnsi="Times New Roman" w:cs="Times New Roman"/>
          <w:sz w:val="24"/>
          <w:szCs w:val="24"/>
        </w:rPr>
        <w:t xml:space="preserve"> le marché mondial se voit investi d’une fonction déterminante, celle </w:t>
      </w:r>
      <w:r w:rsidR="0096577B" w:rsidRPr="00AF41CC">
        <w:rPr>
          <w:rFonts w:ascii="Times New Roman" w:hAnsi="Times New Roman" w:cs="Times New Roman"/>
          <w:sz w:val="24"/>
          <w:szCs w:val="24"/>
        </w:rPr>
        <w:t xml:space="preserve">d’une homogénéisation </w:t>
      </w:r>
      <w:r w:rsidR="0042507C" w:rsidRPr="00AF41CC">
        <w:rPr>
          <w:rFonts w:ascii="Times New Roman" w:hAnsi="Times New Roman" w:cs="Times New Roman"/>
          <w:sz w:val="24"/>
          <w:szCs w:val="24"/>
        </w:rPr>
        <w:t>des conditions d</w:t>
      </w:r>
      <w:r w:rsidR="00814E00" w:rsidRPr="00AF41CC">
        <w:rPr>
          <w:rFonts w:ascii="Times New Roman" w:hAnsi="Times New Roman" w:cs="Times New Roman"/>
          <w:sz w:val="24"/>
          <w:szCs w:val="24"/>
        </w:rPr>
        <w:t>e production et d</w:t>
      </w:r>
      <w:r w:rsidR="0042507C" w:rsidRPr="00AF41CC">
        <w:rPr>
          <w:rFonts w:ascii="Times New Roman" w:hAnsi="Times New Roman" w:cs="Times New Roman"/>
          <w:sz w:val="24"/>
          <w:szCs w:val="24"/>
        </w:rPr>
        <w:t>’existence qui apparaît comme la</w:t>
      </w:r>
      <w:r w:rsidR="00DF19C6" w:rsidRPr="00AF41CC">
        <w:rPr>
          <w:rFonts w:ascii="Times New Roman" w:hAnsi="Times New Roman" w:cs="Times New Roman"/>
          <w:sz w:val="24"/>
          <w:szCs w:val="24"/>
        </w:rPr>
        <w:t xml:space="preserve"> condition du passage à une forme sociale</w:t>
      </w:r>
      <w:r w:rsidR="004F6818" w:rsidRPr="00AF41CC">
        <w:rPr>
          <w:rFonts w:ascii="Times New Roman" w:hAnsi="Times New Roman" w:cs="Times New Roman"/>
          <w:sz w:val="24"/>
          <w:szCs w:val="24"/>
        </w:rPr>
        <w:t xml:space="preserve"> </w:t>
      </w:r>
      <w:r w:rsidR="00DF19C6" w:rsidRPr="00AF41CC">
        <w:rPr>
          <w:rFonts w:ascii="Times New Roman" w:hAnsi="Times New Roman" w:cs="Times New Roman"/>
          <w:sz w:val="24"/>
          <w:szCs w:val="24"/>
        </w:rPr>
        <w:t>supérieure. D</w:t>
      </w:r>
      <w:r w:rsidR="00FA17B9" w:rsidRPr="00AF41CC">
        <w:rPr>
          <w:rFonts w:ascii="Times New Roman" w:hAnsi="Times New Roman" w:cs="Times New Roman"/>
          <w:sz w:val="24"/>
          <w:szCs w:val="24"/>
        </w:rPr>
        <w:t xml:space="preserve">’une </w:t>
      </w:r>
      <w:r w:rsidR="00DF19C6" w:rsidRPr="00AF41CC">
        <w:rPr>
          <w:rFonts w:ascii="Times New Roman" w:hAnsi="Times New Roman" w:cs="Times New Roman"/>
          <w:sz w:val="24"/>
          <w:szCs w:val="24"/>
        </w:rPr>
        <w:t>façon</w:t>
      </w:r>
      <w:r w:rsidR="00FA17B9" w:rsidRPr="00AF41CC">
        <w:rPr>
          <w:rFonts w:ascii="Times New Roman" w:hAnsi="Times New Roman" w:cs="Times New Roman"/>
          <w:sz w:val="24"/>
          <w:szCs w:val="24"/>
        </w:rPr>
        <w:t xml:space="preserve"> hyperbolique</w:t>
      </w:r>
      <w:r w:rsidR="00DF19C6" w:rsidRPr="00AF41CC">
        <w:rPr>
          <w:rFonts w:ascii="Times New Roman" w:hAnsi="Times New Roman" w:cs="Times New Roman"/>
          <w:sz w:val="24"/>
          <w:szCs w:val="24"/>
        </w:rPr>
        <w:t xml:space="preserve">, la </w:t>
      </w:r>
      <w:r w:rsidR="001F62DB" w:rsidRPr="00AF41CC">
        <w:rPr>
          <w:rFonts w:ascii="Times New Roman" w:hAnsi="Times New Roman" w:cs="Times New Roman"/>
          <w:sz w:val="24"/>
          <w:szCs w:val="24"/>
        </w:rPr>
        <w:t>mondia</w:t>
      </w:r>
      <w:r w:rsidR="00DF19C6" w:rsidRPr="00AF41CC">
        <w:rPr>
          <w:rFonts w:ascii="Times New Roman" w:hAnsi="Times New Roman" w:cs="Times New Roman"/>
          <w:sz w:val="24"/>
          <w:szCs w:val="24"/>
        </w:rPr>
        <w:t xml:space="preserve">lisation </w:t>
      </w:r>
      <w:r w:rsidR="006815D0" w:rsidRPr="00AF41CC">
        <w:rPr>
          <w:rFonts w:ascii="Times New Roman" w:hAnsi="Times New Roman" w:cs="Times New Roman"/>
          <w:sz w:val="24"/>
          <w:szCs w:val="24"/>
        </w:rPr>
        <w:t xml:space="preserve">néolibérale </w:t>
      </w:r>
      <w:r w:rsidR="00DF19C6" w:rsidRPr="00AF41CC">
        <w:rPr>
          <w:rFonts w:ascii="Times New Roman" w:hAnsi="Times New Roman" w:cs="Times New Roman"/>
          <w:sz w:val="24"/>
          <w:szCs w:val="24"/>
        </w:rPr>
        <w:t>est comprise par les auteurs d’</w:t>
      </w:r>
      <w:r w:rsidR="00DF19C6" w:rsidRPr="00AF41CC">
        <w:rPr>
          <w:rFonts w:ascii="Times New Roman" w:hAnsi="Times New Roman" w:cs="Times New Roman"/>
          <w:i/>
          <w:iCs/>
          <w:sz w:val="24"/>
          <w:szCs w:val="24"/>
        </w:rPr>
        <w:t>Empire</w:t>
      </w:r>
      <w:r w:rsidR="00DF19C6" w:rsidRPr="00AF41CC">
        <w:rPr>
          <w:rFonts w:ascii="Times New Roman" w:hAnsi="Times New Roman" w:cs="Times New Roman"/>
          <w:sz w:val="24"/>
          <w:szCs w:val="24"/>
        </w:rPr>
        <w:t xml:space="preserve"> comme </w:t>
      </w:r>
      <w:r w:rsidR="00CE7010" w:rsidRPr="00AF41CC">
        <w:rPr>
          <w:rFonts w:ascii="Times New Roman" w:hAnsi="Times New Roman" w:cs="Times New Roman"/>
          <w:sz w:val="24"/>
          <w:szCs w:val="24"/>
        </w:rPr>
        <w:t>la</w:t>
      </w:r>
      <w:r w:rsidR="00DF19C6" w:rsidRPr="00AF41CC">
        <w:rPr>
          <w:rFonts w:ascii="Times New Roman" w:hAnsi="Times New Roman" w:cs="Times New Roman"/>
          <w:sz w:val="24"/>
          <w:szCs w:val="24"/>
        </w:rPr>
        <w:t xml:space="preserve"> p</w:t>
      </w:r>
      <w:r w:rsidR="00FA17B9" w:rsidRPr="00AF41CC">
        <w:rPr>
          <w:rFonts w:ascii="Times New Roman" w:hAnsi="Times New Roman" w:cs="Times New Roman"/>
          <w:sz w:val="24"/>
          <w:szCs w:val="24"/>
        </w:rPr>
        <w:t>rémisse</w:t>
      </w:r>
      <w:r w:rsidR="00DF19C6" w:rsidRPr="00AF41CC">
        <w:rPr>
          <w:rFonts w:ascii="Times New Roman" w:hAnsi="Times New Roman" w:cs="Times New Roman"/>
          <w:sz w:val="24"/>
          <w:szCs w:val="24"/>
        </w:rPr>
        <w:t xml:space="preserve"> </w:t>
      </w:r>
      <w:r w:rsidR="00CE7010" w:rsidRPr="00AF41CC">
        <w:rPr>
          <w:rFonts w:ascii="Times New Roman" w:hAnsi="Times New Roman" w:cs="Times New Roman"/>
          <w:sz w:val="24"/>
          <w:szCs w:val="24"/>
        </w:rPr>
        <w:t xml:space="preserve">immédiate </w:t>
      </w:r>
      <w:r w:rsidR="00585774" w:rsidRPr="00AF41CC">
        <w:rPr>
          <w:rFonts w:ascii="Times New Roman" w:hAnsi="Times New Roman" w:cs="Times New Roman"/>
          <w:sz w:val="24"/>
          <w:szCs w:val="24"/>
        </w:rPr>
        <w:t xml:space="preserve">de cette nouvelle forme </w:t>
      </w:r>
      <w:r w:rsidR="001F62DB" w:rsidRPr="00AF41CC">
        <w:rPr>
          <w:rFonts w:ascii="Times New Roman" w:hAnsi="Times New Roman" w:cs="Times New Roman"/>
          <w:sz w:val="24"/>
          <w:szCs w:val="24"/>
        </w:rPr>
        <w:t>en raison d</w:t>
      </w:r>
      <w:r w:rsidR="008F62C5" w:rsidRPr="00AF41CC">
        <w:rPr>
          <w:rFonts w:ascii="Times New Roman" w:hAnsi="Times New Roman" w:cs="Times New Roman"/>
          <w:sz w:val="24"/>
          <w:szCs w:val="24"/>
        </w:rPr>
        <w:t>u « </w:t>
      </w:r>
      <w:r w:rsidR="001F62DB" w:rsidRPr="00AF41CC">
        <w:rPr>
          <w:rFonts w:ascii="Times New Roman" w:hAnsi="Times New Roman" w:cs="Times New Roman"/>
          <w:sz w:val="24"/>
          <w:szCs w:val="24"/>
        </w:rPr>
        <w:t>communisme spontané et élémentaire »</w:t>
      </w:r>
      <w:r w:rsidR="00585774" w:rsidRPr="00AF41CC">
        <w:rPr>
          <w:rFonts w:ascii="Times New Roman" w:hAnsi="Times New Roman" w:cs="Times New Roman"/>
          <w:sz w:val="24"/>
          <w:szCs w:val="24"/>
        </w:rPr>
        <w:t xml:space="preserve"> dont le travail immatériel serait porteur</w:t>
      </w:r>
      <w:r w:rsidR="001F62DB" w:rsidRPr="00AF41CC">
        <w:rPr>
          <w:rFonts w:ascii="Times New Roman" w:hAnsi="Times New Roman" w:cs="Times New Roman"/>
          <w:sz w:val="24"/>
          <w:szCs w:val="24"/>
        </w:rPr>
        <w:t>.</w:t>
      </w:r>
      <w:r w:rsidR="00FA17B9" w:rsidRPr="00AF41CC">
        <w:rPr>
          <w:rFonts w:ascii="Times New Roman" w:hAnsi="Times New Roman" w:cs="Times New Roman"/>
          <w:sz w:val="24"/>
          <w:szCs w:val="24"/>
        </w:rPr>
        <w:t xml:space="preserve"> </w:t>
      </w:r>
      <w:r w:rsidR="00253FB3" w:rsidRPr="00AF41CC">
        <w:rPr>
          <w:rFonts w:ascii="Times New Roman" w:hAnsi="Times New Roman" w:cs="Times New Roman"/>
          <w:sz w:val="24"/>
          <w:szCs w:val="24"/>
        </w:rPr>
        <w:t xml:space="preserve">Certes, </w:t>
      </w:r>
      <w:r w:rsidR="00E31804" w:rsidRPr="00AF41CC">
        <w:rPr>
          <w:rFonts w:ascii="Times New Roman" w:hAnsi="Times New Roman" w:cs="Times New Roman"/>
          <w:sz w:val="24"/>
          <w:szCs w:val="24"/>
        </w:rPr>
        <w:t xml:space="preserve">à leurs yeux, </w:t>
      </w:r>
      <w:r w:rsidR="00253FB3" w:rsidRPr="00AF41CC">
        <w:rPr>
          <w:rFonts w:ascii="Times New Roman" w:hAnsi="Times New Roman" w:cs="Times New Roman"/>
          <w:sz w:val="24"/>
          <w:szCs w:val="24"/>
        </w:rPr>
        <w:t xml:space="preserve">la souveraineté n’a pas entièrement disparu, elle prend </w:t>
      </w:r>
      <w:r w:rsidR="00797721" w:rsidRPr="00AF41CC">
        <w:rPr>
          <w:rFonts w:ascii="Times New Roman" w:hAnsi="Times New Roman" w:cs="Times New Roman"/>
          <w:sz w:val="24"/>
          <w:szCs w:val="24"/>
        </w:rPr>
        <w:t xml:space="preserve">non plus la forme de la souveraineté des Etats-nations, </w:t>
      </w:r>
      <w:r w:rsidR="00814E00" w:rsidRPr="00AF41CC">
        <w:rPr>
          <w:rFonts w:ascii="Times New Roman" w:hAnsi="Times New Roman" w:cs="Times New Roman"/>
          <w:sz w:val="24"/>
          <w:szCs w:val="24"/>
        </w:rPr>
        <w:t xml:space="preserve">qui serait en déclin, </w:t>
      </w:r>
      <w:r w:rsidR="00797721" w:rsidRPr="00AF41CC">
        <w:rPr>
          <w:rFonts w:ascii="Times New Roman" w:hAnsi="Times New Roman" w:cs="Times New Roman"/>
          <w:sz w:val="24"/>
          <w:szCs w:val="24"/>
        </w:rPr>
        <w:t>mais celle</w:t>
      </w:r>
      <w:r w:rsidR="008C565B" w:rsidRPr="00AF41CC">
        <w:rPr>
          <w:rFonts w:ascii="Times New Roman" w:hAnsi="Times New Roman" w:cs="Times New Roman"/>
          <w:sz w:val="24"/>
          <w:szCs w:val="24"/>
        </w:rPr>
        <w:t xml:space="preserve"> de la « souveraineté impériale ».</w:t>
      </w:r>
      <w:r w:rsidR="00585970" w:rsidRPr="00AF41CC">
        <w:rPr>
          <w:rFonts w:ascii="Times New Roman" w:hAnsi="Times New Roman" w:cs="Times New Roman"/>
          <w:sz w:val="24"/>
          <w:szCs w:val="24"/>
        </w:rPr>
        <w:t xml:space="preserve"> Le modèle de référence est celui de la constitution romaine décrite par Polybe comme une « constitution mixte » : le consul y représente l’élément monarchique, le Sénat l’élément aristocratique et les assemblées populaires </w:t>
      </w:r>
      <w:r w:rsidR="00F93D3F" w:rsidRPr="00AF41CC">
        <w:rPr>
          <w:rFonts w:ascii="Times New Roman" w:hAnsi="Times New Roman" w:cs="Times New Roman"/>
          <w:sz w:val="24"/>
          <w:szCs w:val="24"/>
        </w:rPr>
        <w:t>(</w:t>
      </w:r>
      <w:r w:rsidR="00F93D3F" w:rsidRPr="00AF41CC">
        <w:rPr>
          <w:rFonts w:ascii="Times New Roman" w:hAnsi="Times New Roman" w:cs="Times New Roman"/>
          <w:i/>
          <w:iCs/>
          <w:sz w:val="24"/>
          <w:szCs w:val="24"/>
        </w:rPr>
        <w:t>comitia</w:t>
      </w:r>
      <w:r w:rsidR="00F93D3F" w:rsidRPr="00AF41CC">
        <w:rPr>
          <w:rFonts w:ascii="Times New Roman" w:hAnsi="Times New Roman" w:cs="Times New Roman"/>
          <w:sz w:val="24"/>
          <w:szCs w:val="24"/>
        </w:rPr>
        <w:t xml:space="preserve">) </w:t>
      </w:r>
      <w:r w:rsidR="00585970" w:rsidRPr="00AF41CC">
        <w:rPr>
          <w:rFonts w:ascii="Times New Roman" w:hAnsi="Times New Roman" w:cs="Times New Roman"/>
          <w:sz w:val="24"/>
          <w:szCs w:val="24"/>
        </w:rPr>
        <w:t>l’élément démocratique</w:t>
      </w:r>
      <w:r w:rsidR="00F438A2" w:rsidRPr="00AF41CC">
        <w:rPr>
          <w:rFonts w:ascii="Times New Roman" w:hAnsi="Times New Roman" w:cs="Times New Roman"/>
          <w:sz w:val="24"/>
          <w:szCs w:val="24"/>
        </w:rPr>
        <w:t xml:space="preserve">. De </w:t>
      </w:r>
      <w:r w:rsidR="00A43EF3" w:rsidRPr="00AF41CC">
        <w:rPr>
          <w:rFonts w:ascii="Times New Roman" w:hAnsi="Times New Roman" w:cs="Times New Roman"/>
          <w:sz w:val="24"/>
          <w:szCs w:val="24"/>
        </w:rPr>
        <w:t xml:space="preserve">la même manière, </w:t>
      </w:r>
      <w:r w:rsidR="00180AB9" w:rsidRPr="00AF41CC">
        <w:rPr>
          <w:rFonts w:ascii="Times New Roman" w:hAnsi="Times New Roman" w:cs="Times New Roman"/>
          <w:sz w:val="24"/>
          <w:szCs w:val="24"/>
        </w:rPr>
        <w:t xml:space="preserve">selon Hardt et Negri, </w:t>
      </w:r>
      <w:r w:rsidR="00A43EF3" w:rsidRPr="00AF41CC">
        <w:rPr>
          <w:rFonts w:ascii="Times New Roman" w:hAnsi="Times New Roman" w:cs="Times New Roman"/>
          <w:sz w:val="24"/>
          <w:szCs w:val="24"/>
        </w:rPr>
        <w:t xml:space="preserve">la constitution impériale devrait être comprise comme une </w:t>
      </w:r>
      <w:r w:rsidR="000219CE" w:rsidRPr="00AF41CC">
        <w:rPr>
          <w:rFonts w:ascii="Times New Roman" w:hAnsi="Times New Roman" w:cs="Times New Roman"/>
          <w:sz w:val="24"/>
          <w:szCs w:val="24"/>
        </w:rPr>
        <w:t>structure pyramidale de trois</w:t>
      </w:r>
      <w:r w:rsidR="00A43EF3" w:rsidRPr="00AF41CC">
        <w:rPr>
          <w:rFonts w:ascii="Times New Roman" w:hAnsi="Times New Roman" w:cs="Times New Roman"/>
          <w:sz w:val="24"/>
          <w:szCs w:val="24"/>
        </w:rPr>
        <w:t xml:space="preserve"> </w:t>
      </w:r>
      <w:r w:rsidR="000219CE" w:rsidRPr="00AF41CC">
        <w:rPr>
          <w:rFonts w:ascii="Times New Roman" w:hAnsi="Times New Roman" w:cs="Times New Roman"/>
          <w:sz w:val="24"/>
          <w:szCs w:val="24"/>
        </w:rPr>
        <w:t>étages</w:t>
      </w:r>
      <w:r w:rsidR="00A63C2B" w:rsidRPr="00AF41CC">
        <w:rPr>
          <w:rStyle w:val="Appelnotedebasdep"/>
          <w:rFonts w:ascii="Times New Roman" w:hAnsi="Times New Roman" w:cs="Times New Roman"/>
          <w:sz w:val="24"/>
          <w:szCs w:val="24"/>
        </w:rPr>
        <w:footnoteReference w:id="4"/>
      </w:r>
      <w:r w:rsidR="000219CE" w:rsidRPr="00AF41CC">
        <w:rPr>
          <w:rFonts w:ascii="Times New Roman" w:hAnsi="Times New Roman" w:cs="Times New Roman"/>
          <w:sz w:val="24"/>
          <w:szCs w:val="24"/>
        </w:rPr>
        <w:t xml:space="preserve"> </w:t>
      </w:r>
      <w:r w:rsidR="000566CE" w:rsidRPr="00AF41CC">
        <w:rPr>
          <w:rFonts w:ascii="Times New Roman" w:hAnsi="Times New Roman" w:cs="Times New Roman"/>
          <w:sz w:val="24"/>
          <w:szCs w:val="24"/>
        </w:rPr>
        <w:t xml:space="preserve">: au sommet, </w:t>
      </w:r>
      <w:r w:rsidR="00F93D3F" w:rsidRPr="00AF41CC">
        <w:rPr>
          <w:rFonts w:ascii="Times New Roman" w:hAnsi="Times New Roman" w:cs="Times New Roman"/>
          <w:sz w:val="24"/>
          <w:szCs w:val="24"/>
        </w:rPr>
        <w:t>l</w:t>
      </w:r>
      <w:r w:rsidR="004B7D75" w:rsidRPr="00AF41CC">
        <w:rPr>
          <w:rFonts w:ascii="Times New Roman" w:hAnsi="Times New Roman" w:cs="Times New Roman"/>
          <w:sz w:val="24"/>
          <w:szCs w:val="24"/>
        </w:rPr>
        <w:t>e pouvoir central, de caractère</w:t>
      </w:r>
      <w:r w:rsidR="0038768E" w:rsidRPr="00AF41CC">
        <w:rPr>
          <w:rFonts w:ascii="Times New Roman" w:hAnsi="Times New Roman" w:cs="Times New Roman"/>
          <w:sz w:val="24"/>
          <w:szCs w:val="24"/>
        </w:rPr>
        <w:t xml:space="preserve"> monarchique</w:t>
      </w:r>
      <w:r w:rsidR="004B7D75" w:rsidRPr="00AF41CC">
        <w:rPr>
          <w:rFonts w:ascii="Times New Roman" w:hAnsi="Times New Roman" w:cs="Times New Roman"/>
          <w:sz w:val="24"/>
          <w:szCs w:val="24"/>
        </w:rPr>
        <w:t>,</w:t>
      </w:r>
      <w:r w:rsidR="0040585D" w:rsidRPr="00AF41CC">
        <w:rPr>
          <w:rFonts w:ascii="Times New Roman" w:hAnsi="Times New Roman" w:cs="Times New Roman"/>
          <w:sz w:val="24"/>
          <w:szCs w:val="24"/>
        </w:rPr>
        <w:t xml:space="preserve"> </w:t>
      </w:r>
      <w:r w:rsidR="00F93D3F" w:rsidRPr="00AF41CC">
        <w:rPr>
          <w:rFonts w:ascii="Times New Roman" w:hAnsi="Times New Roman" w:cs="Times New Roman"/>
          <w:sz w:val="24"/>
          <w:szCs w:val="24"/>
        </w:rPr>
        <w:t>qui dispose du monopole mondial de la force</w:t>
      </w:r>
      <w:r w:rsidR="000566CE" w:rsidRPr="00AF41CC">
        <w:rPr>
          <w:rFonts w:ascii="Times New Roman" w:hAnsi="Times New Roman" w:cs="Times New Roman"/>
          <w:sz w:val="24"/>
          <w:szCs w:val="24"/>
        </w:rPr>
        <w:t> </w:t>
      </w:r>
      <w:r w:rsidR="0038768E" w:rsidRPr="00AF41CC">
        <w:rPr>
          <w:rFonts w:ascii="Times New Roman" w:hAnsi="Times New Roman" w:cs="Times New Roman"/>
          <w:sz w:val="24"/>
          <w:szCs w:val="24"/>
        </w:rPr>
        <w:t xml:space="preserve">militaire et exerce un contrôle sur les principaux instruments monétaires mondiaux </w:t>
      </w:r>
      <w:r w:rsidR="0040585D" w:rsidRPr="00AF41CC">
        <w:rPr>
          <w:rFonts w:ascii="Times New Roman" w:hAnsi="Times New Roman" w:cs="Times New Roman"/>
          <w:sz w:val="24"/>
          <w:szCs w:val="24"/>
        </w:rPr>
        <w:t xml:space="preserve">(les </w:t>
      </w:r>
      <w:r w:rsidR="0038768E" w:rsidRPr="00AF41CC">
        <w:rPr>
          <w:rFonts w:ascii="Times New Roman" w:hAnsi="Times New Roman" w:cs="Times New Roman"/>
          <w:sz w:val="24"/>
          <w:szCs w:val="24"/>
        </w:rPr>
        <w:t>Et</w:t>
      </w:r>
      <w:r w:rsidR="0040585D" w:rsidRPr="00AF41CC">
        <w:rPr>
          <w:rFonts w:ascii="Times New Roman" w:hAnsi="Times New Roman" w:cs="Times New Roman"/>
          <w:sz w:val="24"/>
          <w:szCs w:val="24"/>
        </w:rPr>
        <w:t xml:space="preserve">ats-Unis </w:t>
      </w:r>
      <w:r w:rsidR="0038768E" w:rsidRPr="00AF41CC">
        <w:rPr>
          <w:rFonts w:ascii="Times New Roman" w:hAnsi="Times New Roman" w:cs="Times New Roman"/>
          <w:sz w:val="24"/>
          <w:szCs w:val="24"/>
        </w:rPr>
        <w:t xml:space="preserve">et un groupe restreint d’Etats-nations) </w:t>
      </w:r>
      <w:r w:rsidR="000566CE" w:rsidRPr="00AF41CC">
        <w:rPr>
          <w:rFonts w:ascii="Times New Roman" w:hAnsi="Times New Roman" w:cs="Times New Roman"/>
          <w:sz w:val="24"/>
          <w:szCs w:val="24"/>
        </w:rPr>
        <w:t xml:space="preserve">; </w:t>
      </w:r>
      <w:r w:rsidR="0081266B" w:rsidRPr="00AF41CC">
        <w:rPr>
          <w:rFonts w:ascii="Times New Roman" w:hAnsi="Times New Roman" w:cs="Times New Roman"/>
          <w:sz w:val="24"/>
          <w:szCs w:val="24"/>
        </w:rPr>
        <w:t xml:space="preserve">au milieu, </w:t>
      </w:r>
      <w:r w:rsidR="00F93D3F" w:rsidRPr="00AF41CC">
        <w:rPr>
          <w:rFonts w:ascii="Times New Roman" w:hAnsi="Times New Roman" w:cs="Times New Roman"/>
          <w:sz w:val="24"/>
          <w:szCs w:val="24"/>
        </w:rPr>
        <w:t xml:space="preserve">l’aristocratie qui regroupe </w:t>
      </w:r>
      <w:r w:rsidR="0081266B" w:rsidRPr="00AF41CC">
        <w:rPr>
          <w:rFonts w:ascii="Times New Roman" w:hAnsi="Times New Roman" w:cs="Times New Roman"/>
          <w:sz w:val="24"/>
          <w:szCs w:val="24"/>
        </w:rPr>
        <w:t>les grandes entreprises multinationales </w:t>
      </w:r>
      <w:r w:rsidR="00DE3E5F" w:rsidRPr="00AF41CC">
        <w:rPr>
          <w:rFonts w:ascii="Times New Roman" w:hAnsi="Times New Roman" w:cs="Times New Roman"/>
          <w:sz w:val="24"/>
          <w:szCs w:val="24"/>
        </w:rPr>
        <w:t>et l</w:t>
      </w:r>
      <w:r w:rsidR="004B7D75" w:rsidRPr="00AF41CC">
        <w:rPr>
          <w:rFonts w:ascii="Times New Roman" w:hAnsi="Times New Roman" w:cs="Times New Roman"/>
          <w:sz w:val="24"/>
          <w:szCs w:val="24"/>
        </w:rPr>
        <w:t>a plus grande partie d</w:t>
      </w:r>
      <w:r w:rsidR="00DE3E5F" w:rsidRPr="00AF41CC">
        <w:rPr>
          <w:rFonts w:ascii="Times New Roman" w:hAnsi="Times New Roman" w:cs="Times New Roman"/>
          <w:sz w:val="24"/>
          <w:szCs w:val="24"/>
        </w:rPr>
        <w:t xml:space="preserve">es Etats-nations </w:t>
      </w:r>
      <w:r w:rsidR="0081266B" w:rsidRPr="00AF41CC">
        <w:rPr>
          <w:rFonts w:ascii="Times New Roman" w:hAnsi="Times New Roman" w:cs="Times New Roman"/>
          <w:sz w:val="24"/>
          <w:szCs w:val="24"/>
        </w:rPr>
        <w:t xml:space="preserve">; </w:t>
      </w:r>
      <w:r w:rsidR="00AE2300" w:rsidRPr="00AF41CC">
        <w:rPr>
          <w:rFonts w:ascii="Times New Roman" w:hAnsi="Times New Roman" w:cs="Times New Roman"/>
          <w:sz w:val="24"/>
          <w:szCs w:val="24"/>
        </w:rPr>
        <w:t xml:space="preserve">enfin, </w:t>
      </w:r>
      <w:r w:rsidR="00A63C2B" w:rsidRPr="00AF41CC">
        <w:rPr>
          <w:rFonts w:ascii="Times New Roman" w:hAnsi="Times New Roman" w:cs="Times New Roman"/>
          <w:sz w:val="24"/>
          <w:szCs w:val="24"/>
        </w:rPr>
        <w:t xml:space="preserve">tout en bas, </w:t>
      </w:r>
      <w:r w:rsidR="00F93D3F" w:rsidRPr="00AF41CC">
        <w:rPr>
          <w:rFonts w:ascii="Times New Roman" w:hAnsi="Times New Roman" w:cs="Times New Roman"/>
          <w:sz w:val="24"/>
          <w:szCs w:val="24"/>
        </w:rPr>
        <w:t>l</w:t>
      </w:r>
      <w:r w:rsidR="00A63C2B" w:rsidRPr="00AF41CC">
        <w:rPr>
          <w:rFonts w:ascii="Times New Roman" w:hAnsi="Times New Roman" w:cs="Times New Roman"/>
          <w:sz w:val="24"/>
          <w:szCs w:val="24"/>
        </w:rPr>
        <w:t xml:space="preserve">a représentation des intérêts du peuple : certains Etats-nations subordonnés et surtout </w:t>
      </w:r>
      <w:r w:rsidR="0081266B" w:rsidRPr="00AF41CC">
        <w:rPr>
          <w:rFonts w:ascii="Times New Roman" w:hAnsi="Times New Roman" w:cs="Times New Roman"/>
          <w:sz w:val="24"/>
          <w:szCs w:val="24"/>
        </w:rPr>
        <w:t xml:space="preserve">les ONG </w:t>
      </w:r>
      <w:r w:rsidR="00125FF2" w:rsidRPr="00AF41CC">
        <w:rPr>
          <w:rFonts w:ascii="Times New Roman" w:hAnsi="Times New Roman" w:cs="Times New Roman"/>
          <w:sz w:val="24"/>
          <w:szCs w:val="24"/>
        </w:rPr>
        <w:t>qui sont « la grande base de la pyramide du pouvoir mondial »</w:t>
      </w:r>
      <w:r w:rsidR="0081266B" w:rsidRPr="00AF41CC">
        <w:rPr>
          <w:rFonts w:ascii="Times New Roman" w:hAnsi="Times New Roman" w:cs="Times New Roman"/>
          <w:sz w:val="24"/>
          <w:szCs w:val="24"/>
        </w:rPr>
        <w:t>.</w:t>
      </w:r>
      <w:r w:rsidR="00A43EF3" w:rsidRPr="00AF41CC">
        <w:rPr>
          <w:rFonts w:ascii="Times New Roman" w:hAnsi="Times New Roman" w:cs="Times New Roman"/>
          <w:sz w:val="24"/>
          <w:szCs w:val="24"/>
        </w:rPr>
        <w:t xml:space="preserve"> </w:t>
      </w:r>
      <w:r w:rsidR="00585970" w:rsidRPr="00AF41CC">
        <w:rPr>
          <w:rFonts w:ascii="Times New Roman" w:hAnsi="Times New Roman" w:cs="Times New Roman"/>
          <w:sz w:val="24"/>
          <w:szCs w:val="24"/>
        </w:rPr>
        <w:t xml:space="preserve">Cette analogie souffre des mêmes défauts </w:t>
      </w:r>
      <w:r w:rsidR="00585970" w:rsidRPr="00AF41CC">
        <w:rPr>
          <w:rFonts w:ascii="Times New Roman" w:hAnsi="Times New Roman" w:cs="Times New Roman"/>
          <w:sz w:val="24"/>
          <w:szCs w:val="24"/>
        </w:rPr>
        <w:lastRenderedPageBreak/>
        <w:t>que son modèle </w:t>
      </w:r>
      <w:r w:rsidR="00A43EF3" w:rsidRPr="00AF41CC">
        <w:rPr>
          <w:rFonts w:ascii="Times New Roman" w:hAnsi="Times New Roman" w:cs="Times New Roman"/>
          <w:sz w:val="24"/>
          <w:szCs w:val="24"/>
        </w:rPr>
        <w:t>polybien</w:t>
      </w:r>
      <w:r w:rsidR="00136350" w:rsidRPr="00AF41CC">
        <w:rPr>
          <w:rStyle w:val="Appelnotedebasdep"/>
          <w:rFonts w:ascii="Times New Roman" w:hAnsi="Times New Roman" w:cs="Times New Roman"/>
          <w:sz w:val="24"/>
          <w:szCs w:val="24"/>
        </w:rPr>
        <w:footnoteReference w:id="5"/>
      </w:r>
      <w:r w:rsidR="006E6EDC" w:rsidRPr="00AF41CC">
        <w:rPr>
          <w:rFonts w:ascii="Times New Roman" w:hAnsi="Times New Roman" w:cs="Times New Roman"/>
          <w:sz w:val="24"/>
          <w:szCs w:val="24"/>
        </w:rPr>
        <w:t>, elle prétend rendre compte d’une réalité en épousant les discours de légitimation tenus par ceux qui ont</w:t>
      </w:r>
      <w:r w:rsidR="000566CE" w:rsidRPr="00AF41CC">
        <w:rPr>
          <w:rFonts w:ascii="Times New Roman" w:hAnsi="Times New Roman" w:cs="Times New Roman"/>
          <w:sz w:val="24"/>
          <w:szCs w:val="24"/>
        </w:rPr>
        <w:t xml:space="preserve"> </w:t>
      </w:r>
      <w:r w:rsidR="006E6EDC" w:rsidRPr="00AF41CC">
        <w:rPr>
          <w:rFonts w:ascii="Times New Roman" w:hAnsi="Times New Roman" w:cs="Times New Roman"/>
          <w:sz w:val="24"/>
          <w:szCs w:val="24"/>
        </w:rPr>
        <w:t>intérêt à sa perpétuatio</w:t>
      </w:r>
      <w:r w:rsidR="00222B66" w:rsidRPr="00AF41CC">
        <w:rPr>
          <w:rFonts w:ascii="Times New Roman" w:hAnsi="Times New Roman" w:cs="Times New Roman"/>
          <w:sz w:val="24"/>
          <w:szCs w:val="24"/>
        </w:rPr>
        <w:t>n alors même qu</w:t>
      </w:r>
      <w:r w:rsidR="00814E00" w:rsidRPr="00AF41CC">
        <w:rPr>
          <w:rFonts w:ascii="Times New Roman" w:hAnsi="Times New Roman" w:cs="Times New Roman"/>
          <w:sz w:val="24"/>
          <w:szCs w:val="24"/>
        </w:rPr>
        <w:t xml:space="preserve">e, </w:t>
      </w:r>
      <w:r w:rsidR="00E25F76" w:rsidRPr="00AF41CC">
        <w:rPr>
          <w:rFonts w:ascii="Times New Roman" w:hAnsi="Times New Roman" w:cs="Times New Roman"/>
          <w:sz w:val="24"/>
          <w:szCs w:val="24"/>
        </w:rPr>
        <w:t xml:space="preserve">à la différence du « polybisme », </w:t>
      </w:r>
      <w:r w:rsidR="00222B66" w:rsidRPr="00AF41CC">
        <w:rPr>
          <w:rFonts w:ascii="Times New Roman" w:hAnsi="Times New Roman" w:cs="Times New Roman"/>
          <w:sz w:val="24"/>
          <w:szCs w:val="24"/>
        </w:rPr>
        <w:t xml:space="preserve">elle entend la combattre. </w:t>
      </w:r>
      <w:r w:rsidR="0081266B" w:rsidRPr="00AF41CC">
        <w:rPr>
          <w:rFonts w:ascii="Times New Roman" w:hAnsi="Times New Roman" w:cs="Times New Roman"/>
          <w:sz w:val="24"/>
          <w:szCs w:val="24"/>
        </w:rPr>
        <w:t xml:space="preserve">Ce faisant, </w:t>
      </w:r>
      <w:r w:rsidR="00585970" w:rsidRPr="00AF41CC">
        <w:rPr>
          <w:rFonts w:ascii="Times New Roman" w:hAnsi="Times New Roman" w:cs="Times New Roman"/>
          <w:sz w:val="24"/>
          <w:szCs w:val="24"/>
        </w:rPr>
        <w:t xml:space="preserve">elle tend à </w:t>
      </w:r>
      <w:r w:rsidR="0081266B" w:rsidRPr="00AF41CC">
        <w:rPr>
          <w:rFonts w:ascii="Times New Roman" w:hAnsi="Times New Roman" w:cs="Times New Roman"/>
          <w:sz w:val="24"/>
          <w:szCs w:val="24"/>
        </w:rPr>
        <w:t>escamoter</w:t>
      </w:r>
      <w:r w:rsidR="00585970" w:rsidRPr="00AF41CC">
        <w:rPr>
          <w:rFonts w:ascii="Times New Roman" w:hAnsi="Times New Roman" w:cs="Times New Roman"/>
          <w:sz w:val="24"/>
          <w:szCs w:val="24"/>
        </w:rPr>
        <w:t xml:space="preserve"> les </w:t>
      </w:r>
      <w:r w:rsidR="00AE2FDD" w:rsidRPr="00AF41CC">
        <w:rPr>
          <w:rFonts w:ascii="Times New Roman" w:hAnsi="Times New Roman" w:cs="Times New Roman"/>
          <w:sz w:val="24"/>
          <w:szCs w:val="24"/>
        </w:rPr>
        <w:t>conflits entre les pouvoirs</w:t>
      </w:r>
      <w:r w:rsidR="005906F0" w:rsidRPr="00AF41CC">
        <w:rPr>
          <w:rFonts w:ascii="Times New Roman" w:hAnsi="Times New Roman" w:cs="Times New Roman"/>
          <w:sz w:val="24"/>
          <w:szCs w:val="24"/>
        </w:rPr>
        <w:t xml:space="preserve">, notamment </w:t>
      </w:r>
      <w:r w:rsidR="00F043C3" w:rsidRPr="00AF41CC">
        <w:rPr>
          <w:rFonts w:ascii="Times New Roman" w:hAnsi="Times New Roman" w:cs="Times New Roman"/>
          <w:sz w:val="24"/>
          <w:szCs w:val="24"/>
        </w:rPr>
        <w:t xml:space="preserve">les conflits </w:t>
      </w:r>
      <w:r w:rsidR="005906F0" w:rsidRPr="00AF41CC">
        <w:rPr>
          <w:rFonts w:ascii="Times New Roman" w:hAnsi="Times New Roman" w:cs="Times New Roman"/>
          <w:sz w:val="24"/>
          <w:szCs w:val="24"/>
        </w:rPr>
        <w:t>interétatiques</w:t>
      </w:r>
      <w:r w:rsidR="00F043C3" w:rsidRPr="00AF41CC">
        <w:rPr>
          <w:rFonts w:ascii="Times New Roman" w:hAnsi="Times New Roman" w:cs="Times New Roman"/>
          <w:sz w:val="24"/>
          <w:szCs w:val="24"/>
        </w:rPr>
        <w:t xml:space="preserve"> qui tendent à devenir de plus en plus violents,</w:t>
      </w:r>
      <w:r w:rsidR="005906F0" w:rsidRPr="00AF41CC">
        <w:rPr>
          <w:rFonts w:ascii="Times New Roman" w:hAnsi="Times New Roman" w:cs="Times New Roman"/>
          <w:sz w:val="24"/>
          <w:szCs w:val="24"/>
        </w:rPr>
        <w:t xml:space="preserve"> </w:t>
      </w:r>
      <w:r w:rsidR="00A43EF3" w:rsidRPr="00AF41CC">
        <w:rPr>
          <w:rFonts w:ascii="Times New Roman" w:hAnsi="Times New Roman" w:cs="Times New Roman"/>
          <w:sz w:val="24"/>
          <w:szCs w:val="24"/>
        </w:rPr>
        <w:t>e</w:t>
      </w:r>
      <w:r w:rsidR="000219CE" w:rsidRPr="00AF41CC">
        <w:rPr>
          <w:rFonts w:ascii="Times New Roman" w:hAnsi="Times New Roman" w:cs="Times New Roman"/>
          <w:sz w:val="24"/>
          <w:szCs w:val="24"/>
        </w:rPr>
        <w:t>n</w:t>
      </w:r>
      <w:r w:rsidR="00F043C3" w:rsidRPr="00AF41CC">
        <w:rPr>
          <w:rFonts w:ascii="Times New Roman" w:hAnsi="Times New Roman" w:cs="Times New Roman"/>
          <w:sz w:val="24"/>
          <w:szCs w:val="24"/>
        </w:rPr>
        <w:t xml:space="preserve"> </w:t>
      </w:r>
      <w:r w:rsidR="00A43EF3" w:rsidRPr="00AF41CC">
        <w:rPr>
          <w:rFonts w:ascii="Times New Roman" w:hAnsi="Times New Roman" w:cs="Times New Roman"/>
          <w:sz w:val="24"/>
          <w:szCs w:val="24"/>
        </w:rPr>
        <w:t>surestim</w:t>
      </w:r>
      <w:r w:rsidR="00F043C3" w:rsidRPr="00AF41CC">
        <w:rPr>
          <w:rFonts w:ascii="Times New Roman" w:hAnsi="Times New Roman" w:cs="Times New Roman"/>
          <w:sz w:val="24"/>
          <w:szCs w:val="24"/>
        </w:rPr>
        <w:t>ant</w:t>
      </w:r>
      <w:r w:rsidR="00A43EF3" w:rsidRPr="00AF41CC">
        <w:rPr>
          <w:rFonts w:ascii="Times New Roman" w:hAnsi="Times New Roman" w:cs="Times New Roman"/>
          <w:sz w:val="24"/>
          <w:szCs w:val="24"/>
        </w:rPr>
        <w:t xml:space="preserve"> la cohérence</w:t>
      </w:r>
      <w:r w:rsidR="00F043C3" w:rsidRPr="00AF41CC">
        <w:rPr>
          <w:rFonts w:ascii="Times New Roman" w:hAnsi="Times New Roman" w:cs="Times New Roman"/>
          <w:sz w:val="24"/>
          <w:szCs w:val="24"/>
        </w:rPr>
        <w:t xml:space="preserve"> et l’unité du pouvoir mondial</w:t>
      </w:r>
      <w:r w:rsidR="00A43EF3" w:rsidRPr="00AF41CC">
        <w:rPr>
          <w:rFonts w:ascii="Times New Roman" w:hAnsi="Times New Roman" w:cs="Times New Roman"/>
          <w:sz w:val="24"/>
          <w:szCs w:val="24"/>
        </w:rPr>
        <w:t xml:space="preserve">. </w:t>
      </w:r>
      <w:r w:rsidR="005D22D8" w:rsidRPr="00AF41CC">
        <w:rPr>
          <w:rFonts w:ascii="Times New Roman" w:hAnsi="Times New Roman" w:cs="Times New Roman"/>
          <w:sz w:val="24"/>
          <w:szCs w:val="24"/>
        </w:rPr>
        <w:t>Les groupes d’Etats constitués pour régler des problèmes régionaux ne parviennent plus à masquer la concurrence ouverte entre l</w:t>
      </w:r>
      <w:r w:rsidR="00453935" w:rsidRPr="00AF41CC">
        <w:rPr>
          <w:rFonts w:ascii="Times New Roman" w:hAnsi="Times New Roman" w:cs="Times New Roman"/>
          <w:sz w:val="24"/>
          <w:szCs w:val="24"/>
        </w:rPr>
        <w:t xml:space="preserve">eurs propres membres de plus en plus </w:t>
      </w:r>
      <w:r w:rsidR="005D22D8" w:rsidRPr="00AF41CC">
        <w:rPr>
          <w:rFonts w:ascii="Times New Roman" w:hAnsi="Times New Roman" w:cs="Times New Roman"/>
          <w:sz w:val="24"/>
          <w:szCs w:val="24"/>
        </w:rPr>
        <w:t xml:space="preserve">guidés par la poursuite </w:t>
      </w:r>
      <w:r w:rsidR="003E6316" w:rsidRPr="00AF41CC">
        <w:rPr>
          <w:rFonts w:ascii="Times New Roman" w:hAnsi="Times New Roman" w:cs="Times New Roman"/>
          <w:sz w:val="24"/>
          <w:szCs w:val="24"/>
        </w:rPr>
        <w:t xml:space="preserve">exclusive </w:t>
      </w:r>
      <w:r w:rsidR="005D22D8" w:rsidRPr="00AF41CC">
        <w:rPr>
          <w:rFonts w:ascii="Times New Roman" w:hAnsi="Times New Roman" w:cs="Times New Roman"/>
          <w:sz w:val="24"/>
          <w:szCs w:val="24"/>
        </w:rPr>
        <w:t xml:space="preserve">de leurs intérêts nationaux. Ainsi, du groupe des sept Etats </w:t>
      </w:r>
      <w:r w:rsidR="00AC4E7C" w:rsidRPr="00AF41CC">
        <w:rPr>
          <w:rFonts w:ascii="Times New Roman" w:hAnsi="Times New Roman" w:cs="Times New Roman"/>
          <w:sz w:val="24"/>
          <w:szCs w:val="24"/>
        </w:rPr>
        <w:t>(au nombre desquels on trouve les Etats-Unis, le Canada, le Japon, la Russie et la Chine) censé régler les litige</w:t>
      </w:r>
      <w:r w:rsidR="003E6316" w:rsidRPr="00AF41CC">
        <w:rPr>
          <w:rFonts w:ascii="Times New Roman" w:hAnsi="Times New Roman" w:cs="Times New Roman"/>
          <w:sz w:val="24"/>
          <w:szCs w:val="24"/>
        </w:rPr>
        <w:t>s</w:t>
      </w:r>
      <w:r w:rsidR="00AC4E7C" w:rsidRPr="00AF41CC">
        <w:rPr>
          <w:rFonts w:ascii="Times New Roman" w:hAnsi="Times New Roman" w:cs="Times New Roman"/>
          <w:sz w:val="24"/>
          <w:szCs w:val="24"/>
        </w:rPr>
        <w:t xml:space="preserve"> autour du pôle Nord : ce qui est en cours relève déjà d’une véritable « guerre du pôle » dont l’enjeu principal est l</w:t>
      </w:r>
      <w:r w:rsidR="00E31804" w:rsidRPr="00AF41CC">
        <w:rPr>
          <w:rFonts w:ascii="Times New Roman" w:hAnsi="Times New Roman" w:cs="Times New Roman"/>
          <w:sz w:val="24"/>
          <w:szCs w:val="24"/>
        </w:rPr>
        <w:t>’exploitation d</w:t>
      </w:r>
      <w:r w:rsidR="00AC4E7C" w:rsidRPr="00AF41CC">
        <w:rPr>
          <w:rFonts w:ascii="Times New Roman" w:hAnsi="Times New Roman" w:cs="Times New Roman"/>
          <w:sz w:val="24"/>
          <w:szCs w:val="24"/>
        </w:rPr>
        <w:t xml:space="preserve">es </w:t>
      </w:r>
      <w:r w:rsidR="003E6316" w:rsidRPr="00AF41CC">
        <w:rPr>
          <w:rFonts w:ascii="Times New Roman" w:hAnsi="Times New Roman" w:cs="Times New Roman"/>
          <w:sz w:val="24"/>
          <w:szCs w:val="24"/>
        </w:rPr>
        <w:t xml:space="preserve">richesses des fonds marins. </w:t>
      </w:r>
      <w:r w:rsidR="00AC4E7C" w:rsidRPr="00AF41CC">
        <w:rPr>
          <w:rFonts w:ascii="Times New Roman" w:hAnsi="Times New Roman" w:cs="Times New Roman"/>
          <w:sz w:val="24"/>
          <w:szCs w:val="24"/>
        </w:rPr>
        <w:t xml:space="preserve"> </w:t>
      </w:r>
      <w:r w:rsidR="00E31804" w:rsidRPr="00AF41CC">
        <w:rPr>
          <w:rFonts w:ascii="Times New Roman" w:hAnsi="Times New Roman" w:cs="Times New Roman"/>
          <w:sz w:val="24"/>
          <w:szCs w:val="24"/>
        </w:rPr>
        <w:t xml:space="preserve">Ainsi, les Zones Economiques Exclusives – ZEE, qui sont des projections du territoire des Etats très au-delà des côtes du littoral, sont l’enjeu de rivalités entre les Etats (par exemple entre Grèce et Turquie, toutes deux membres de l’OTAN). </w:t>
      </w:r>
      <w:r w:rsidR="000C4ED9" w:rsidRPr="00AF41CC">
        <w:rPr>
          <w:rFonts w:ascii="Times New Roman" w:hAnsi="Times New Roman" w:cs="Times New Roman"/>
          <w:sz w:val="24"/>
          <w:szCs w:val="24"/>
        </w:rPr>
        <w:t>A l’épreuve des faits, le voile de la</w:t>
      </w:r>
      <w:r w:rsidR="003E6316" w:rsidRPr="00AF41CC">
        <w:rPr>
          <w:rFonts w:ascii="Times New Roman" w:hAnsi="Times New Roman" w:cs="Times New Roman"/>
          <w:sz w:val="24"/>
          <w:szCs w:val="24"/>
        </w:rPr>
        <w:t xml:space="preserve"> « souveraineté impériale »</w:t>
      </w:r>
      <w:r w:rsidR="000C4ED9" w:rsidRPr="00AF41CC">
        <w:rPr>
          <w:rFonts w:ascii="Times New Roman" w:hAnsi="Times New Roman" w:cs="Times New Roman"/>
          <w:sz w:val="24"/>
          <w:szCs w:val="24"/>
        </w:rPr>
        <w:t xml:space="preserve"> se déchire pour laisser apparaître</w:t>
      </w:r>
      <w:r w:rsidR="003E6316" w:rsidRPr="00AF41CC">
        <w:rPr>
          <w:rFonts w:ascii="Times New Roman" w:hAnsi="Times New Roman" w:cs="Times New Roman"/>
          <w:sz w:val="24"/>
          <w:szCs w:val="24"/>
        </w:rPr>
        <w:t xml:space="preserve"> un affrontement de moins en moins dissimulé entre puissances étatiques rivales</w:t>
      </w:r>
      <w:r w:rsidR="00D17031" w:rsidRPr="00AF41CC">
        <w:rPr>
          <w:rFonts w:ascii="Times New Roman" w:hAnsi="Times New Roman" w:cs="Times New Roman"/>
          <w:sz w:val="24"/>
          <w:szCs w:val="24"/>
        </w:rPr>
        <w:t xml:space="preserve"> ou entre blocs de puissance (comme on peut s’en rendre compte </w:t>
      </w:r>
      <w:r w:rsidR="00520A2A" w:rsidRPr="00AF41CC">
        <w:rPr>
          <w:rFonts w:ascii="Times New Roman" w:hAnsi="Times New Roman" w:cs="Times New Roman"/>
          <w:sz w:val="24"/>
          <w:szCs w:val="24"/>
        </w:rPr>
        <w:t xml:space="preserve">avec l’affrontement </w:t>
      </w:r>
      <w:r w:rsidR="00405B9A" w:rsidRPr="00AF41CC">
        <w:rPr>
          <w:rFonts w:ascii="Times New Roman" w:hAnsi="Times New Roman" w:cs="Times New Roman"/>
          <w:sz w:val="24"/>
          <w:szCs w:val="24"/>
        </w:rPr>
        <w:t xml:space="preserve">en </w:t>
      </w:r>
      <w:r w:rsidR="00D17031" w:rsidRPr="00AF41CC">
        <w:rPr>
          <w:rFonts w:ascii="Times New Roman" w:hAnsi="Times New Roman" w:cs="Times New Roman"/>
          <w:sz w:val="24"/>
          <w:szCs w:val="24"/>
        </w:rPr>
        <w:t>Ukraine)</w:t>
      </w:r>
      <w:r w:rsidR="003E6316" w:rsidRPr="00AF41CC">
        <w:rPr>
          <w:rFonts w:ascii="Times New Roman" w:hAnsi="Times New Roman" w:cs="Times New Roman"/>
          <w:sz w:val="24"/>
          <w:szCs w:val="24"/>
        </w:rPr>
        <w:t>.</w:t>
      </w:r>
    </w:p>
    <w:p w14:paraId="22F9B68F" w14:textId="59C5C675" w:rsidR="0054076F" w:rsidRPr="00AF41CC" w:rsidRDefault="000C4ED9" w:rsidP="005D3353">
      <w:pPr>
        <w:spacing w:line="360" w:lineRule="auto"/>
        <w:jc w:val="both"/>
        <w:rPr>
          <w:rFonts w:ascii="Times New Roman" w:hAnsi="Times New Roman" w:cs="Times New Roman"/>
          <w:sz w:val="24"/>
          <w:szCs w:val="24"/>
        </w:rPr>
      </w:pPr>
      <w:r w:rsidRPr="00AF41CC">
        <w:rPr>
          <w:rFonts w:ascii="Times New Roman" w:hAnsi="Times New Roman" w:cs="Times New Roman"/>
          <w:sz w:val="24"/>
          <w:szCs w:val="24"/>
        </w:rPr>
        <w:t xml:space="preserve">La </w:t>
      </w:r>
      <w:r w:rsidR="0081266B" w:rsidRPr="00AF41CC">
        <w:rPr>
          <w:rFonts w:ascii="Times New Roman" w:hAnsi="Times New Roman" w:cs="Times New Roman"/>
          <w:sz w:val="24"/>
          <w:szCs w:val="24"/>
        </w:rPr>
        <w:t xml:space="preserve">cohérence fantasmée </w:t>
      </w:r>
      <w:r w:rsidRPr="00AF41CC">
        <w:rPr>
          <w:rFonts w:ascii="Times New Roman" w:hAnsi="Times New Roman" w:cs="Times New Roman"/>
          <w:sz w:val="24"/>
          <w:szCs w:val="24"/>
        </w:rPr>
        <w:t>postulée par les auteurs d’</w:t>
      </w:r>
      <w:r w:rsidRPr="00AF41CC">
        <w:rPr>
          <w:rFonts w:ascii="Times New Roman" w:hAnsi="Times New Roman" w:cs="Times New Roman"/>
          <w:i/>
          <w:iCs/>
          <w:sz w:val="24"/>
          <w:szCs w:val="24"/>
        </w:rPr>
        <w:t>Empire</w:t>
      </w:r>
      <w:r w:rsidRPr="00AF41CC">
        <w:rPr>
          <w:rFonts w:ascii="Times New Roman" w:hAnsi="Times New Roman" w:cs="Times New Roman"/>
          <w:sz w:val="24"/>
          <w:szCs w:val="24"/>
        </w:rPr>
        <w:t xml:space="preserve"> </w:t>
      </w:r>
      <w:r w:rsidR="0081266B" w:rsidRPr="00AF41CC">
        <w:rPr>
          <w:rFonts w:ascii="Times New Roman" w:hAnsi="Times New Roman" w:cs="Times New Roman"/>
          <w:sz w:val="24"/>
          <w:szCs w:val="24"/>
        </w:rPr>
        <w:t>est le prix à payer pour l’homogénéisation</w:t>
      </w:r>
      <w:r w:rsidR="0037312E" w:rsidRPr="00AF41CC">
        <w:rPr>
          <w:rFonts w:ascii="Times New Roman" w:hAnsi="Times New Roman" w:cs="Times New Roman"/>
          <w:sz w:val="24"/>
          <w:szCs w:val="24"/>
        </w:rPr>
        <w:t xml:space="preserve"> </w:t>
      </w:r>
      <w:r w:rsidR="004F6818" w:rsidRPr="00AF41CC">
        <w:rPr>
          <w:rFonts w:ascii="Times New Roman" w:hAnsi="Times New Roman" w:cs="Times New Roman"/>
          <w:sz w:val="24"/>
          <w:szCs w:val="24"/>
        </w:rPr>
        <w:t>dont</w:t>
      </w:r>
      <w:r w:rsidR="0037312E" w:rsidRPr="00AF41CC">
        <w:rPr>
          <w:rFonts w:ascii="Times New Roman" w:hAnsi="Times New Roman" w:cs="Times New Roman"/>
          <w:sz w:val="24"/>
          <w:szCs w:val="24"/>
        </w:rPr>
        <w:t xml:space="preserve"> </w:t>
      </w:r>
      <w:r w:rsidR="005906F0" w:rsidRPr="00AF41CC">
        <w:rPr>
          <w:rFonts w:ascii="Times New Roman" w:hAnsi="Times New Roman" w:cs="Times New Roman"/>
          <w:sz w:val="24"/>
          <w:szCs w:val="24"/>
        </w:rPr>
        <w:t>le</w:t>
      </w:r>
      <w:r w:rsidR="0081266B" w:rsidRPr="00AF41CC">
        <w:rPr>
          <w:rFonts w:ascii="Times New Roman" w:hAnsi="Times New Roman" w:cs="Times New Roman"/>
          <w:sz w:val="24"/>
          <w:szCs w:val="24"/>
        </w:rPr>
        <w:t xml:space="preserve"> marché </w:t>
      </w:r>
      <w:r w:rsidR="005906F0" w:rsidRPr="00AF41CC">
        <w:rPr>
          <w:rFonts w:ascii="Times New Roman" w:hAnsi="Times New Roman" w:cs="Times New Roman"/>
          <w:sz w:val="24"/>
          <w:szCs w:val="24"/>
        </w:rPr>
        <w:t xml:space="preserve">est </w:t>
      </w:r>
      <w:r w:rsidR="00814E00" w:rsidRPr="00AF41CC">
        <w:rPr>
          <w:rFonts w:ascii="Times New Roman" w:hAnsi="Times New Roman" w:cs="Times New Roman"/>
          <w:sz w:val="24"/>
          <w:szCs w:val="24"/>
        </w:rPr>
        <w:t xml:space="preserve">censé être </w:t>
      </w:r>
      <w:r w:rsidR="005906F0" w:rsidRPr="00AF41CC">
        <w:rPr>
          <w:rFonts w:ascii="Times New Roman" w:hAnsi="Times New Roman" w:cs="Times New Roman"/>
          <w:sz w:val="24"/>
          <w:szCs w:val="24"/>
        </w:rPr>
        <w:t xml:space="preserve">l’opérateur </w:t>
      </w:r>
      <w:r w:rsidR="0081266B" w:rsidRPr="00AF41CC">
        <w:rPr>
          <w:rFonts w:ascii="Times New Roman" w:hAnsi="Times New Roman" w:cs="Times New Roman"/>
          <w:sz w:val="24"/>
          <w:szCs w:val="24"/>
        </w:rPr>
        <w:t xml:space="preserve">: dès lors que </w:t>
      </w:r>
      <w:r w:rsidR="00D41270" w:rsidRPr="00AF41CC">
        <w:rPr>
          <w:rFonts w:ascii="Times New Roman" w:hAnsi="Times New Roman" w:cs="Times New Roman"/>
          <w:sz w:val="24"/>
          <w:szCs w:val="24"/>
        </w:rPr>
        <w:t xml:space="preserve">celui-ci </w:t>
      </w:r>
      <w:r w:rsidR="005906F0" w:rsidRPr="00AF41CC">
        <w:rPr>
          <w:rFonts w:ascii="Times New Roman" w:hAnsi="Times New Roman" w:cs="Times New Roman"/>
          <w:sz w:val="24"/>
          <w:szCs w:val="24"/>
        </w:rPr>
        <w:t xml:space="preserve">est donné pour le </w:t>
      </w:r>
      <w:r w:rsidR="0037312E" w:rsidRPr="00AF41CC">
        <w:rPr>
          <w:rFonts w:ascii="Times New Roman" w:hAnsi="Times New Roman" w:cs="Times New Roman"/>
          <w:sz w:val="24"/>
          <w:szCs w:val="24"/>
        </w:rPr>
        <w:t xml:space="preserve">véritable </w:t>
      </w:r>
      <w:r w:rsidR="005906F0" w:rsidRPr="00AF41CC">
        <w:rPr>
          <w:rFonts w:ascii="Times New Roman" w:hAnsi="Times New Roman" w:cs="Times New Roman"/>
          <w:sz w:val="24"/>
          <w:szCs w:val="24"/>
        </w:rPr>
        <w:t xml:space="preserve">contenu, </w:t>
      </w:r>
      <w:r w:rsidR="00D41270" w:rsidRPr="00AF41CC">
        <w:rPr>
          <w:rFonts w:ascii="Times New Roman" w:hAnsi="Times New Roman" w:cs="Times New Roman"/>
          <w:sz w:val="24"/>
          <w:szCs w:val="24"/>
        </w:rPr>
        <w:t xml:space="preserve">il </w:t>
      </w:r>
      <w:r w:rsidR="0037312E" w:rsidRPr="00AF41CC">
        <w:rPr>
          <w:rFonts w:ascii="Times New Roman" w:hAnsi="Times New Roman" w:cs="Times New Roman"/>
          <w:sz w:val="24"/>
          <w:szCs w:val="24"/>
        </w:rPr>
        <w:t xml:space="preserve">est supposé </w:t>
      </w:r>
      <w:r w:rsidR="00C9072B" w:rsidRPr="00AF41CC">
        <w:rPr>
          <w:rFonts w:ascii="Times New Roman" w:hAnsi="Times New Roman" w:cs="Times New Roman"/>
          <w:sz w:val="24"/>
          <w:szCs w:val="24"/>
        </w:rPr>
        <w:t>expliquer </w:t>
      </w:r>
      <w:r w:rsidR="00E9451B" w:rsidRPr="00AF41CC">
        <w:rPr>
          <w:rFonts w:ascii="Times New Roman" w:hAnsi="Times New Roman" w:cs="Times New Roman"/>
          <w:sz w:val="24"/>
          <w:szCs w:val="24"/>
        </w:rPr>
        <w:t xml:space="preserve">la </w:t>
      </w:r>
      <w:r w:rsidR="00101F02" w:rsidRPr="00AF41CC">
        <w:rPr>
          <w:rFonts w:ascii="Times New Roman" w:hAnsi="Times New Roman" w:cs="Times New Roman"/>
          <w:sz w:val="24"/>
          <w:szCs w:val="24"/>
        </w:rPr>
        <w:t>« </w:t>
      </w:r>
      <w:r w:rsidR="00E9451B" w:rsidRPr="00AF41CC">
        <w:rPr>
          <w:rFonts w:ascii="Times New Roman" w:hAnsi="Times New Roman" w:cs="Times New Roman"/>
          <w:sz w:val="24"/>
          <w:szCs w:val="24"/>
        </w:rPr>
        <w:t>forme impériale</w:t>
      </w:r>
      <w:r w:rsidR="00101F02" w:rsidRPr="00AF41CC">
        <w:rPr>
          <w:rFonts w:ascii="Times New Roman" w:hAnsi="Times New Roman" w:cs="Times New Roman"/>
          <w:sz w:val="24"/>
          <w:szCs w:val="24"/>
        </w:rPr>
        <w:t> »</w:t>
      </w:r>
      <w:r w:rsidR="00E9451B" w:rsidRPr="00AF41CC">
        <w:rPr>
          <w:rFonts w:ascii="Times New Roman" w:hAnsi="Times New Roman" w:cs="Times New Roman"/>
          <w:sz w:val="24"/>
          <w:szCs w:val="24"/>
        </w:rPr>
        <w:t xml:space="preserve"> de la souveraineté </w:t>
      </w:r>
      <w:r w:rsidR="00D41270" w:rsidRPr="00AF41CC">
        <w:rPr>
          <w:rFonts w:ascii="Times New Roman" w:hAnsi="Times New Roman" w:cs="Times New Roman"/>
          <w:sz w:val="24"/>
          <w:szCs w:val="24"/>
        </w:rPr>
        <w:t>mieux qu’</w:t>
      </w:r>
      <w:r w:rsidR="00E25F76" w:rsidRPr="00AF41CC">
        <w:rPr>
          <w:rFonts w:ascii="Times New Roman" w:hAnsi="Times New Roman" w:cs="Times New Roman"/>
          <w:sz w:val="24"/>
          <w:szCs w:val="24"/>
        </w:rPr>
        <w:t>il</w:t>
      </w:r>
      <w:r w:rsidR="00D41270" w:rsidRPr="00AF41CC">
        <w:rPr>
          <w:rFonts w:ascii="Times New Roman" w:hAnsi="Times New Roman" w:cs="Times New Roman"/>
          <w:sz w:val="24"/>
          <w:szCs w:val="24"/>
        </w:rPr>
        <w:t xml:space="preserve"> n’</w:t>
      </w:r>
      <w:r w:rsidR="00E9451B" w:rsidRPr="00AF41CC">
        <w:rPr>
          <w:rFonts w:ascii="Times New Roman" w:hAnsi="Times New Roman" w:cs="Times New Roman"/>
          <w:sz w:val="24"/>
          <w:szCs w:val="24"/>
        </w:rPr>
        <w:t xml:space="preserve">expliquait déjà sa </w:t>
      </w:r>
      <w:r w:rsidR="00101F02" w:rsidRPr="00AF41CC">
        <w:rPr>
          <w:rFonts w:ascii="Times New Roman" w:hAnsi="Times New Roman" w:cs="Times New Roman"/>
          <w:sz w:val="24"/>
          <w:szCs w:val="24"/>
        </w:rPr>
        <w:t>« </w:t>
      </w:r>
      <w:r w:rsidR="00E9451B" w:rsidRPr="00AF41CC">
        <w:rPr>
          <w:rFonts w:ascii="Times New Roman" w:hAnsi="Times New Roman" w:cs="Times New Roman"/>
          <w:sz w:val="24"/>
          <w:szCs w:val="24"/>
        </w:rPr>
        <w:t>forme moderne</w:t>
      </w:r>
      <w:r w:rsidR="00101F02" w:rsidRPr="00AF41CC">
        <w:rPr>
          <w:rFonts w:ascii="Times New Roman" w:hAnsi="Times New Roman" w:cs="Times New Roman"/>
          <w:sz w:val="24"/>
          <w:szCs w:val="24"/>
        </w:rPr>
        <w:t> »</w:t>
      </w:r>
      <w:r w:rsidR="00C159A3" w:rsidRPr="00AF41CC">
        <w:rPr>
          <w:rFonts w:ascii="Times New Roman" w:hAnsi="Times New Roman" w:cs="Times New Roman"/>
          <w:sz w:val="24"/>
          <w:szCs w:val="24"/>
        </w:rPr>
        <w:t xml:space="preserve">, puisque cette dernière </w:t>
      </w:r>
      <w:r w:rsidR="00C20A7C" w:rsidRPr="00AF41CC">
        <w:rPr>
          <w:rFonts w:ascii="Times New Roman" w:hAnsi="Times New Roman" w:cs="Times New Roman"/>
          <w:sz w:val="24"/>
          <w:szCs w:val="24"/>
        </w:rPr>
        <w:t>présupposait</w:t>
      </w:r>
      <w:r w:rsidR="00C159A3" w:rsidRPr="00AF41CC">
        <w:rPr>
          <w:rFonts w:ascii="Times New Roman" w:hAnsi="Times New Roman" w:cs="Times New Roman"/>
          <w:sz w:val="24"/>
          <w:szCs w:val="24"/>
        </w:rPr>
        <w:t xml:space="preserve"> </w:t>
      </w:r>
      <w:r w:rsidR="00C20A7C" w:rsidRPr="00AF41CC">
        <w:rPr>
          <w:rFonts w:ascii="Times New Roman" w:hAnsi="Times New Roman" w:cs="Times New Roman"/>
          <w:sz w:val="24"/>
          <w:szCs w:val="24"/>
        </w:rPr>
        <w:t xml:space="preserve">encore </w:t>
      </w:r>
      <w:r w:rsidR="00C159A3" w:rsidRPr="00AF41CC">
        <w:rPr>
          <w:rFonts w:ascii="Times New Roman" w:hAnsi="Times New Roman" w:cs="Times New Roman"/>
          <w:sz w:val="24"/>
          <w:szCs w:val="24"/>
        </w:rPr>
        <w:t>la division entre l’intérieur et l’</w:t>
      </w:r>
      <w:r w:rsidR="00C20A7C" w:rsidRPr="00AF41CC">
        <w:rPr>
          <w:rFonts w:ascii="Times New Roman" w:hAnsi="Times New Roman" w:cs="Times New Roman"/>
          <w:sz w:val="24"/>
          <w:szCs w:val="24"/>
        </w:rPr>
        <w:t>extérieur que la première ignore.</w:t>
      </w:r>
      <w:r w:rsidR="00E9451B" w:rsidRPr="00AF41CC">
        <w:rPr>
          <w:rFonts w:ascii="Times New Roman" w:hAnsi="Times New Roman" w:cs="Times New Roman"/>
          <w:sz w:val="24"/>
          <w:szCs w:val="24"/>
        </w:rPr>
        <w:t xml:space="preserve"> </w:t>
      </w:r>
      <w:r w:rsidR="00C9072B" w:rsidRPr="00AF41CC">
        <w:rPr>
          <w:rFonts w:ascii="Times New Roman" w:hAnsi="Times New Roman" w:cs="Times New Roman"/>
          <w:sz w:val="24"/>
          <w:szCs w:val="24"/>
        </w:rPr>
        <w:t xml:space="preserve"> </w:t>
      </w:r>
      <w:r w:rsidR="000219CE" w:rsidRPr="00AF41CC">
        <w:rPr>
          <w:rFonts w:ascii="Times New Roman" w:hAnsi="Times New Roman" w:cs="Times New Roman"/>
          <w:sz w:val="24"/>
          <w:szCs w:val="24"/>
        </w:rPr>
        <w:t>Les auteurs d’</w:t>
      </w:r>
      <w:r w:rsidR="000219CE" w:rsidRPr="00AF41CC">
        <w:rPr>
          <w:rFonts w:ascii="Times New Roman" w:hAnsi="Times New Roman" w:cs="Times New Roman"/>
          <w:i/>
          <w:iCs/>
          <w:sz w:val="24"/>
          <w:szCs w:val="24"/>
        </w:rPr>
        <w:t>Empire</w:t>
      </w:r>
      <w:r w:rsidR="000219CE" w:rsidRPr="00AF41CC">
        <w:rPr>
          <w:rFonts w:ascii="Times New Roman" w:hAnsi="Times New Roman" w:cs="Times New Roman"/>
          <w:sz w:val="24"/>
          <w:szCs w:val="24"/>
        </w:rPr>
        <w:t xml:space="preserve"> l’affirment, </w:t>
      </w:r>
      <w:r w:rsidR="00C9072B" w:rsidRPr="00AF41CC">
        <w:rPr>
          <w:rFonts w:ascii="Times New Roman" w:hAnsi="Times New Roman" w:cs="Times New Roman"/>
          <w:sz w:val="24"/>
          <w:szCs w:val="24"/>
        </w:rPr>
        <w:t xml:space="preserve">le marché mondial peut servir </w:t>
      </w:r>
      <w:r w:rsidR="00C20A7C" w:rsidRPr="00AF41CC">
        <w:rPr>
          <w:rFonts w:ascii="Times New Roman" w:hAnsi="Times New Roman" w:cs="Times New Roman"/>
          <w:sz w:val="24"/>
          <w:szCs w:val="24"/>
        </w:rPr>
        <w:t xml:space="preserve">directement </w:t>
      </w:r>
      <w:r w:rsidR="00C9072B" w:rsidRPr="00AF41CC">
        <w:rPr>
          <w:rFonts w:ascii="Times New Roman" w:hAnsi="Times New Roman" w:cs="Times New Roman"/>
          <w:sz w:val="24"/>
          <w:szCs w:val="24"/>
        </w:rPr>
        <w:t xml:space="preserve">de </w:t>
      </w:r>
      <w:r w:rsidR="00E9451B" w:rsidRPr="00AF41CC">
        <w:rPr>
          <w:rFonts w:ascii="Times New Roman" w:hAnsi="Times New Roman" w:cs="Times New Roman"/>
          <w:sz w:val="24"/>
          <w:szCs w:val="24"/>
        </w:rPr>
        <w:t>« </w:t>
      </w:r>
      <w:r w:rsidR="00C9072B" w:rsidRPr="00AF41CC">
        <w:rPr>
          <w:rFonts w:ascii="Times New Roman" w:hAnsi="Times New Roman" w:cs="Times New Roman"/>
          <w:sz w:val="24"/>
          <w:szCs w:val="24"/>
        </w:rPr>
        <w:t>modèle</w:t>
      </w:r>
      <w:r w:rsidR="00E9451B" w:rsidRPr="00AF41CC">
        <w:rPr>
          <w:rFonts w:ascii="Times New Roman" w:hAnsi="Times New Roman" w:cs="Times New Roman"/>
          <w:sz w:val="24"/>
          <w:szCs w:val="24"/>
        </w:rPr>
        <w:t> »</w:t>
      </w:r>
      <w:r w:rsidR="00C9072B" w:rsidRPr="00AF41CC">
        <w:rPr>
          <w:rFonts w:ascii="Times New Roman" w:hAnsi="Times New Roman" w:cs="Times New Roman"/>
          <w:sz w:val="24"/>
          <w:szCs w:val="24"/>
        </w:rPr>
        <w:t xml:space="preserve"> </w:t>
      </w:r>
      <w:r w:rsidR="00F438A2" w:rsidRPr="00AF41CC">
        <w:rPr>
          <w:rFonts w:ascii="Times New Roman" w:hAnsi="Times New Roman" w:cs="Times New Roman"/>
          <w:sz w:val="24"/>
          <w:szCs w:val="24"/>
        </w:rPr>
        <w:t xml:space="preserve">et de </w:t>
      </w:r>
      <w:r w:rsidR="00E9451B" w:rsidRPr="00AF41CC">
        <w:rPr>
          <w:rFonts w:ascii="Times New Roman" w:hAnsi="Times New Roman" w:cs="Times New Roman"/>
          <w:sz w:val="24"/>
          <w:szCs w:val="24"/>
        </w:rPr>
        <w:t>« </w:t>
      </w:r>
      <w:r w:rsidR="00F438A2" w:rsidRPr="00AF41CC">
        <w:rPr>
          <w:rFonts w:ascii="Times New Roman" w:hAnsi="Times New Roman" w:cs="Times New Roman"/>
          <w:sz w:val="24"/>
          <w:szCs w:val="24"/>
        </w:rPr>
        <w:t>schéma</w:t>
      </w:r>
      <w:r w:rsidR="00E9451B" w:rsidRPr="00AF41CC">
        <w:rPr>
          <w:rFonts w:ascii="Times New Roman" w:hAnsi="Times New Roman" w:cs="Times New Roman"/>
          <w:sz w:val="24"/>
          <w:szCs w:val="24"/>
        </w:rPr>
        <w:t> »</w:t>
      </w:r>
      <w:r w:rsidR="00F438A2" w:rsidRPr="00AF41CC">
        <w:rPr>
          <w:rFonts w:ascii="Times New Roman" w:hAnsi="Times New Roman" w:cs="Times New Roman"/>
          <w:sz w:val="24"/>
          <w:szCs w:val="24"/>
        </w:rPr>
        <w:t xml:space="preserve"> </w:t>
      </w:r>
      <w:r w:rsidR="00E9451B" w:rsidRPr="00AF41CC">
        <w:rPr>
          <w:rFonts w:ascii="Times New Roman" w:hAnsi="Times New Roman" w:cs="Times New Roman"/>
          <w:sz w:val="24"/>
          <w:szCs w:val="24"/>
        </w:rPr>
        <w:t>à</w:t>
      </w:r>
      <w:r w:rsidR="00C9072B" w:rsidRPr="00AF41CC">
        <w:rPr>
          <w:rFonts w:ascii="Times New Roman" w:hAnsi="Times New Roman" w:cs="Times New Roman"/>
          <w:sz w:val="24"/>
          <w:szCs w:val="24"/>
        </w:rPr>
        <w:t xml:space="preserve"> la souveraineté impériale</w:t>
      </w:r>
      <w:r w:rsidR="00C9072B" w:rsidRPr="00AF41CC">
        <w:rPr>
          <w:rStyle w:val="Appelnotedebasdep"/>
          <w:rFonts w:ascii="Times New Roman" w:hAnsi="Times New Roman" w:cs="Times New Roman"/>
          <w:sz w:val="24"/>
          <w:szCs w:val="24"/>
        </w:rPr>
        <w:footnoteReference w:id="6"/>
      </w:r>
      <w:r w:rsidR="00C9072B" w:rsidRPr="00AF41CC">
        <w:rPr>
          <w:rFonts w:ascii="Times New Roman" w:hAnsi="Times New Roman" w:cs="Times New Roman"/>
          <w:sz w:val="24"/>
          <w:szCs w:val="24"/>
        </w:rPr>
        <w:t>.</w:t>
      </w:r>
      <w:r w:rsidR="0037312E" w:rsidRPr="00AF41CC">
        <w:rPr>
          <w:rFonts w:ascii="Times New Roman" w:hAnsi="Times New Roman" w:cs="Times New Roman"/>
          <w:sz w:val="24"/>
          <w:szCs w:val="24"/>
        </w:rPr>
        <w:t xml:space="preserve"> Le problème est que cette construction </w:t>
      </w:r>
      <w:r w:rsidR="00F438A2" w:rsidRPr="00AF41CC">
        <w:rPr>
          <w:rFonts w:ascii="Times New Roman" w:hAnsi="Times New Roman" w:cs="Times New Roman"/>
          <w:sz w:val="24"/>
          <w:szCs w:val="24"/>
        </w:rPr>
        <w:t xml:space="preserve">s’avère </w:t>
      </w:r>
      <w:r w:rsidR="0037312E" w:rsidRPr="00AF41CC">
        <w:rPr>
          <w:rFonts w:ascii="Times New Roman" w:hAnsi="Times New Roman" w:cs="Times New Roman"/>
          <w:sz w:val="24"/>
          <w:szCs w:val="24"/>
        </w:rPr>
        <w:t xml:space="preserve">incapable de rendre compte du rôle réel de certaines organisations un peu hâtivement </w:t>
      </w:r>
      <w:r w:rsidR="00101F02" w:rsidRPr="00AF41CC">
        <w:rPr>
          <w:rFonts w:ascii="Times New Roman" w:hAnsi="Times New Roman" w:cs="Times New Roman"/>
          <w:sz w:val="24"/>
          <w:szCs w:val="24"/>
        </w:rPr>
        <w:t xml:space="preserve">enrôlées </w:t>
      </w:r>
      <w:r w:rsidR="0037312E" w:rsidRPr="00AF41CC">
        <w:rPr>
          <w:rFonts w:ascii="Times New Roman" w:hAnsi="Times New Roman" w:cs="Times New Roman"/>
          <w:sz w:val="24"/>
          <w:szCs w:val="24"/>
        </w:rPr>
        <w:t>dans la machine de pouv</w:t>
      </w:r>
      <w:r w:rsidR="00C9072B" w:rsidRPr="00AF41CC">
        <w:rPr>
          <w:rFonts w:ascii="Times New Roman" w:hAnsi="Times New Roman" w:cs="Times New Roman"/>
          <w:sz w:val="24"/>
          <w:szCs w:val="24"/>
        </w:rPr>
        <w:t>oir</w:t>
      </w:r>
      <w:r w:rsidR="00F438A2" w:rsidRPr="00AF41CC">
        <w:rPr>
          <w:rFonts w:ascii="Times New Roman" w:hAnsi="Times New Roman" w:cs="Times New Roman"/>
          <w:sz w:val="24"/>
          <w:szCs w:val="24"/>
        </w:rPr>
        <w:t>.</w:t>
      </w:r>
      <w:r w:rsidR="00C9072B" w:rsidRPr="00AF41CC">
        <w:rPr>
          <w:rFonts w:ascii="Times New Roman" w:hAnsi="Times New Roman" w:cs="Times New Roman"/>
          <w:sz w:val="24"/>
          <w:szCs w:val="24"/>
        </w:rPr>
        <w:t xml:space="preserve"> </w:t>
      </w:r>
      <w:r w:rsidR="00E9451B" w:rsidRPr="00AF41CC">
        <w:rPr>
          <w:rFonts w:ascii="Times New Roman" w:hAnsi="Times New Roman" w:cs="Times New Roman"/>
          <w:sz w:val="24"/>
          <w:szCs w:val="24"/>
        </w:rPr>
        <w:t xml:space="preserve">Ainsi </w:t>
      </w:r>
      <w:r w:rsidR="008B6484" w:rsidRPr="00AF41CC">
        <w:rPr>
          <w:rFonts w:ascii="Times New Roman" w:hAnsi="Times New Roman" w:cs="Times New Roman"/>
          <w:sz w:val="24"/>
          <w:szCs w:val="24"/>
        </w:rPr>
        <w:t>le</w:t>
      </w:r>
      <w:r w:rsidR="00E9451B" w:rsidRPr="00AF41CC">
        <w:rPr>
          <w:rFonts w:ascii="Times New Roman" w:hAnsi="Times New Roman" w:cs="Times New Roman"/>
          <w:sz w:val="24"/>
          <w:szCs w:val="24"/>
        </w:rPr>
        <w:t>s ONG</w:t>
      </w:r>
      <w:r w:rsidR="005A7798" w:rsidRPr="00AF41CC">
        <w:rPr>
          <w:rFonts w:ascii="Times New Roman" w:hAnsi="Times New Roman" w:cs="Times New Roman"/>
          <w:sz w:val="24"/>
          <w:szCs w:val="24"/>
        </w:rPr>
        <w:t xml:space="preserve"> de défense des droits de l’homme</w:t>
      </w:r>
      <w:r w:rsidR="0042507C" w:rsidRPr="00AF41CC">
        <w:rPr>
          <w:rFonts w:ascii="Times New Roman" w:hAnsi="Times New Roman" w:cs="Times New Roman"/>
          <w:sz w:val="24"/>
          <w:szCs w:val="24"/>
        </w:rPr>
        <w:t xml:space="preserve"> </w:t>
      </w:r>
      <w:r w:rsidR="005A7798" w:rsidRPr="00AF41CC">
        <w:rPr>
          <w:rFonts w:ascii="Times New Roman" w:hAnsi="Times New Roman" w:cs="Times New Roman"/>
          <w:sz w:val="24"/>
          <w:szCs w:val="24"/>
        </w:rPr>
        <w:t xml:space="preserve">sont considérées comme </w:t>
      </w:r>
      <w:r w:rsidR="00D057A3" w:rsidRPr="00AF41CC">
        <w:rPr>
          <w:rFonts w:ascii="Times New Roman" w:hAnsi="Times New Roman" w:cs="Times New Roman"/>
          <w:sz w:val="24"/>
          <w:szCs w:val="24"/>
        </w:rPr>
        <w:t>« les sociétés de charité et les ordres mendiants de l’Empire », soit comme d</w:t>
      </w:r>
      <w:r w:rsidR="005A7798" w:rsidRPr="00AF41CC">
        <w:rPr>
          <w:rFonts w:ascii="Times New Roman" w:hAnsi="Times New Roman" w:cs="Times New Roman"/>
          <w:sz w:val="24"/>
          <w:szCs w:val="24"/>
        </w:rPr>
        <w:t xml:space="preserve">es armes </w:t>
      </w:r>
      <w:r w:rsidR="00D057A3" w:rsidRPr="00AF41CC">
        <w:rPr>
          <w:rFonts w:ascii="Times New Roman" w:hAnsi="Times New Roman" w:cs="Times New Roman"/>
          <w:sz w:val="24"/>
          <w:szCs w:val="24"/>
        </w:rPr>
        <w:t>parmi « </w:t>
      </w:r>
      <w:r w:rsidR="005A7798" w:rsidRPr="00AF41CC">
        <w:rPr>
          <w:rFonts w:ascii="Times New Roman" w:hAnsi="Times New Roman" w:cs="Times New Roman"/>
          <w:sz w:val="24"/>
          <w:szCs w:val="24"/>
        </w:rPr>
        <w:t>les plus puissamment pacifiques du nouvel ordre mondial »</w:t>
      </w:r>
      <w:r w:rsidR="001B3A5E" w:rsidRPr="00AF41CC">
        <w:rPr>
          <w:rFonts w:ascii="Times New Roman" w:hAnsi="Times New Roman" w:cs="Times New Roman"/>
          <w:sz w:val="24"/>
          <w:szCs w:val="24"/>
        </w:rPr>
        <w:t> : leur</w:t>
      </w:r>
      <w:r w:rsidR="005A7798" w:rsidRPr="00AF41CC">
        <w:rPr>
          <w:rFonts w:ascii="Times New Roman" w:hAnsi="Times New Roman" w:cs="Times New Roman"/>
          <w:sz w:val="24"/>
          <w:szCs w:val="24"/>
        </w:rPr>
        <w:t xml:space="preserve"> intervention moral</w:t>
      </w:r>
      <w:r w:rsidR="001B3A5E" w:rsidRPr="00AF41CC">
        <w:rPr>
          <w:rFonts w:ascii="Times New Roman" w:hAnsi="Times New Roman" w:cs="Times New Roman"/>
          <w:sz w:val="24"/>
          <w:szCs w:val="24"/>
        </w:rPr>
        <w:t xml:space="preserve">e serait </w:t>
      </w:r>
      <w:r w:rsidR="008B6484" w:rsidRPr="00AF41CC">
        <w:rPr>
          <w:rFonts w:ascii="Times New Roman" w:hAnsi="Times New Roman" w:cs="Times New Roman"/>
          <w:sz w:val="24"/>
          <w:szCs w:val="24"/>
        </w:rPr>
        <w:t xml:space="preserve">donc </w:t>
      </w:r>
      <w:r w:rsidR="001B3A5E" w:rsidRPr="00AF41CC">
        <w:rPr>
          <w:rFonts w:ascii="Times New Roman" w:hAnsi="Times New Roman" w:cs="Times New Roman"/>
          <w:sz w:val="24"/>
          <w:szCs w:val="24"/>
        </w:rPr>
        <w:t>« devenue une force d’avant-garde de l’intervention impériale</w:t>
      </w:r>
      <w:r w:rsidR="00D057A3" w:rsidRPr="00AF41CC">
        <w:rPr>
          <w:rFonts w:ascii="Times New Roman" w:hAnsi="Times New Roman" w:cs="Times New Roman"/>
          <w:sz w:val="24"/>
          <w:szCs w:val="24"/>
        </w:rPr>
        <w:t xml:space="preserve"> </w:t>
      </w:r>
      <w:r w:rsidR="001B3A5E" w:rsidRPr="00AF41CC">
        <w:rPr>
          <w:rFonts w:ascii="Times New Roman" w:hAnsi="Times New Roman" w:cs="Times New Roman"/>
          <w:sz w:val="24"/>
          <w:szCs w:val="24"/>
        </w:rPr>
        <w:t>»</w:t>
      </w:r>
      <w:r w:rsidR="001B3A5E" w:rsidRPr="00AF41CC">
        <w:rPr>
          <w:rStyle w:val="Appelnotedebasdep"/>
          <w:rFonts w:ascii="Times New Roman" w:hAnsi="Times New Roman" w:cs="Times New Roman"/>
          <w:sz w:val="24"/>
          <w:szCs w:val="24"/>
        </w:rPr>
        <w:footnoteReference w:id="7"/>
      </w:r>
      <w:r w:rsidR="00D057A3" w:rsidRPr="00AF41CC">
        <w:rPr>
          <w:rFonts w:ascii="Times New Roman" w:hAnsi="Times New Roman" w:cs="Times New Roman"/>
          <w:sz w:val="24"/>
          <w:szCs w:val="24"/>
        </w:rPr>
        <w:t>.</w:t>
      </w:r>
      <w:r w:rsidR="006B02C0" w:rsidRPr="00AF41CC">
        <w:rPr>
          <w:rFonts w:ascii="Times New Roman" w:hAnsi="Times New Roman" w:cs="Times New Roman"/>
          <w:sz w:val="24"/>
          <w:szCs w:val="24"/>
        </w:rPr>
        <w:t xml:space="preserve"> </w:t>
      </w:r>
      <w:r w:rsidR="009A5BFC" w:rsidRPr="00AF41CC">
        <w:rPr>
          <w:rFonts w:ascii="Times New Roman" w:hAnsi="Times New Roman" w:cs="Times New Roman"/>
          <w:sz w:val="24"/>
          <w:szCs w:val="24"/>
        </w:rPr>
        <w:t xml:space="preserve">Que les Etats invoquent en guise de justification de leur intervention </w:t>
      </w:r>
      <w:r w:rsidR="00394CA4" w:rsidRPr="00AF41CC">
        <w:rPr>
          <w:rFonts w:ascii="Times New Roman" w:hAnsi="Times New Roman" w:cs="Times New Roman"/>
          <w:sz w:val="24"/>
          <w:szCs w:val="24"/>
        </w:rPr>
        <w:t xml:space="preserve">militaire et judiciaire </w:t>
      </w:r>
      <w:r w:rsidR="009A5BFC" w:rsidRPr="00AF41CC">
        <w:rPr>
          <w:rFonts w:ascii="Times New Roman" w:hAnsi="Times New Roman" w:cs="Times New Roman"/>
          <w:sz w:val="24"/>
          <w:szCs w:val="24"/>
        </w:rPr>
        <w:t xml:space="preserve">les arguments avancés par les ONG n’autorisent en rien à réduire </w:t>
      </w:r>
      <w:r w:rsidR="00C305CB" w:rsidRPr="00AF41CC">
        <w:rPr>
          <w:rFonts w:ascii="Times New Roman" w:hAnsi="Times New Roman" w:cs="Times New Roman"/>
          <w:sz w:val="24"/>
          <w:szCs w:val="24"/>
        </w:rPr>
        <w:t xml:space="preserve">ces dernières </w:t>
      </w:r>
      <w:r w:rsidR="009A5BFC" w:rsidRPr="00AF41CC">
        <w:rPr>
          <w:rFonts w:ascii="Times New Roman" w:hAnsi="Times New Roman" w:cs="Times New Roman"/>
          <w:sz w:val="24"/>
          <w:szCs w:val="24"/>
        </w:rPr>
        <w:t>à un tel rôle</w:t>
      </w:r>
      <w:r w:rsidR="008C2CDB" w:rsidRPr="00AF41CC">
        <w:rPr>
          <w:rFonts w:ascii="Times New Roman" w:hAnsi="Times New Roman" w:cs="Times New Roman"/>
          <w:sz w:val="24"/>
          <w:szCs w:val="24"/>
        </w:rPr>
        <w:t>.</w:t>
      </w:r>
      <w:r w:rsidR="00487A57" w:rsidRPr="00AF41CC">
        <w:rPr>
          <w:rFonts w:ascii="Times New Roman" w:hAnsi="Times New Roman" w:cs="Times New Roman"/>
          <w:sz w:val="24"/>
          <w:szCs w:val="24"/>
        </w:rPr>
        <w:t xml:space="preserve"> </w:t>
      </w:r>
      <w:r w:rsidR="008C2CDB" w:rsidRPr="00AF41CC">
        <w:rPr>
          <w:rFonts w:ascii="Times New Roman" w:hAnsi="Times New Roman" w:cs="Times New Roman"/>
          <w:sz w:val="24"/>
          <w:szCs w:val="24"/>
        </w:rPr>
        <w:t>L’</w:t>
      </w:r>
      <w:r w:rsidR="009A5BFC" w:rsidRPr="00AF41CC">
        <w:rPr>
          <w:rFonts w:ascii="Times New Roman" w:hAnsi="Times New Roman" w:cs="Times New Roman"/>
          <w:sz w:val="24"/>
          <w:szCs w:val="24"/>
        </w:rPr>
        <w:t>action des</w:t>
      </w:r>
      <w:r w:rsidR="00487A57" w:rsidRPr="00AF41CC">
        <w:rPr>
          <w:rFonts w:ascii="Times New Roman" w:hAnsi="Times New Roman" w:cs="Times New Roman"/>
          <w:sz w:val="24"/>
          <w:szCs w:val="24"/>
        </w:rPr>
        <w:t xml:space="preserve"> organisations </w:t>
      </w:r>
      <w:r w:rsidR="00487A57" w:rsidRPr="00AF41CC">
        <w:rPr>
          <w:rFonts w:ascii="Times New Roman" w:hAnsi="Times New Roman" w:cs="Times New Roman"/>
          <w:sz w:val="24"/>
          <w:szCs w:val="24"/>
        </w:rPr>
        <w:lastRenderedPageBreak/>
        <w:t>humanitaires</w:t>
      </w:r>
      <w:r w:rsidR="009A5BFC" w:rsidRPr="00AF41CC">
        <w:rPr>
          <w:rFonts w:ascii="Times New Roman" w:hAnsi="Times New Roman" w:cs="Times New Roman"/>
          <w:sz w:val="24"/>
          <w:szCs w:val="24"/>
        </w:rPr>
        <w:t xml:space="preserve">, </w:t>
      </w:r>
      <w:r w:rsidR="001B7EB8" w:rsidRPr="00AF41CC">
        <w:rPr>
          <w:rFonts w:ascii="Times New Roman" w:hAnsi="Times New Roman" w:cs="Times New Roman"/>
          <w:sz w:val="24"/>
          <w:szCs w:val="24"/>
        </w:rPr>
        <w:t xml:space="preserve">comme le </w:t>
      </w:r>
      <w:r w:rsidR="001B7EB8" w:rsidRPr="00AF41CC">
        <w:rPr>
          <w:rFonts w:ascii="Times New Roman" w:hAnsi="Times New Roman" w:cs="Times New Roman"/>
          <w:i/>
          <w:iCs/>
          <w:sz w:val="24"/>
          <w:szCs w:val="24"/>
        </w:rPr>
        <w:t>Sea Watch 3</w:t>
      </w:r>
      <w:r w:rsidR="009A5BFC" w:rsidRPr="00AF41CC">
        <w:rPr>
          <w:rFonts w:ascii="Times New Roman" w:hAnsi="Times New Roman" w:cs="Times New Roman"/>
          <w:sz w:val="24"/>
          <w:szCs w:val="24"/>
        </w:rPr>
        <w:t xml:space="preserve">, </w:t>
      </w:r>
      <w:r w:rsidR="00487A57" w:rsidRPr="00AF41CC">
        <w:rPr>
          <w:rFonts w:ascii="Times New Roman" w:hAnsi="Times New Roman" w:cs="Times New Roman"/>
          <w:sz w:val="24"/>
          <w:szCs w:val="24"/>
        </w:rPr>
        <w:t xml:space="preserve">qui combattent pour faire prévaloir </w:t>
      </w:r>
      <w:r w:rsidR="00453935" w:rsidRPr="00AF41CC">
        <w:rPr>
          <w:rFonts w:ascii="Times New Roman" w:hAnsi="Times New Roman" w:cs="Times New Roman"/>
          <w:sz w:val="24"/>
          <w:szCs w:val="24"/>
        </w:rPr>
        <w:t xml:space="preserve">sur le droit des Etats </w:t>
      </w:r>
      <w:r w:rsidR="00487A57" w:rsidRPr="00AF41CC">
        <w:rPr>
          <w:rFonts w:ascii="Times New Roman" w:hAnsi="Times New Roman" w:cs="Times New Roman"/>
          <w:sz w:val="24"/>
          <w:szCs w:val="24"/>
        </w:rPr>
        <w:t>le droit de la mer</w:t>
      </w:r>
      <w:r w:rsidR="00302ADF" w:rsidRPr="00AF41CC">
        <w:rPr>
          <w:rFonts w:ascii="Times New Roman" w:hAnsi="Times New Roman" w:cs="Times New Roman"/>
          <w:sz w:val="24"/>
          <w:szCs w:val="24"/>
        </w:rPr>
        <w:t xml:space="preserve">, </w:t>
      </w:r>
      <w:r w:rsidR="008C2CDB" w:rsidRPr="00AF41CC">
        <w:rPr>
          <w:rFonts w:ascii="Times New Roman" w:hAnsi="Times New Roman" w:cs="Times New Roman"/>
          <w:sz w:val="24"/>
          <w:szCs w:val="24"/>
        </w:rPr>
        <w:t xml:space="preserve">lequel </w:t>
      </w:r>
      <w:r w:rsidR="00972589" w:rsidRPr="00AF41CC">
        <w:rPr>
          <w:rFonts w:ascii="Times New Roman" w:hAnsi="Times New Roman" w:cs="Times New Roman"/>
          <w:sz w:val="24"/>
          <w:szCs w:val="24"/>
        </w:rPr>
        <w:t>inclut</w:t>
      </w:r>
      <w:r w:rsidR="008B6484" w:rsidRPr="00AF41CC">
        <w:rPr>
          <w:rFonts w:ascii="Times New Roman" w:hAnsi="Times New Roman" w:cs="Times New Roman"/>
          <w:sz w:val="24"/>
          <w:szCs w:val="24"/>
        </w:rPr>
        <w:t xml:space="preserve"> </w:t>
      </w:r>
      <w:r w:rsidR="00302ADF" w:rsidRPr="00AF41CC">
        <w:rPr>
          <w:rFonts w:ascii="Times New Roman" w:hAnsi="Times New Roman" w:cs="Times New Roman"/>
          <w:sz w:val="24"/>
          <w:szCs w:val="24"/>
        </w:rPr>
        <w:t>le devoir de porter secours aux migrants,</w:t>
      </w:r>
      <w:r w:rsidR="009A5BFC" w:rsidRPr="00AF41CC">
        <w:rPr>
          <w:rFonts w:ascii="Times New Roman" w:hAnsi="Times New Roman" w:cs="Times New Roman"/>
          <w:sz w:val="24"/>
          <w:szCs w:val="24"/>
        </w:rPr>
        <w:t xml:space="preserve"> </w:t>
      </w:r>
      <w:r w:rsidR="00972589" w:rsidRPr="00AF41CC">
        <w:rPr>
          <w:rFonts w:ascii="Times New Roman" w:hAnsi="Times New Roman" w:cs="Times New Roman"/>
          <w:sz w:val="24"/>
          <w:szCs w:val="24"/>
        </w:rPr>
        <w:t>montre suffisamment combien cette critique porte complètement à faux</w:t>
      </w:r>
      <w:r w:rsidR="00F51832" w:rsidRPr="00AF41CC">
        <w:rPr>
          <w:rStyle w:val="Appelnotedebasdep"/>
          <w:rFonts w:ascii="Times New Roman" w:hAnsi="Times New Roman" w:cs="Times New Roman"/>
          <w:sz w:val="24"/>
          <w:szCs w:val="24"/>
        </w:rPr>
        <w:footnoteReference w:id="8"/>
      </w:r>
      <w:r w:rsidR="006126F8" w:rsidRPr="00AF41CC">
        <w:rPr>
          <w:rFonts w:ascii="Times New Roman" w:hAnsi="Times New Roman" w:cs="Times New Roman"/>
          <w:sz w:val="24"/>
          <w:szCs w:val="24"/>
        </w:rPr>
        <w:t>.</w:t>
      </w:r>
    </w:p>
    <w:p w14:paraId="62EAFC74" w14:textId="7E1EED73" w:rsidR="001B3A5E" w:rsidRPr="00AF41CC" w:rsidRDefault="001B3A5E" w:rsidP="005D3353">
      <w:pPr>
        <w:spacing w:line="360" w:lineRule="auto"/>
        <w:jc w:val="both"/>
        <w:rPr>
          <w:rFonts w:ascii="Times New Roman" w:hAnsi="Times New Roman" w:cs="Times New Roman"/>
          <w:sz w:val="24"/>
          <w:szCs w:val="24"/>
        </w:rPr>
      </w:pPr>
      <w:r w:rsidRPr="00AF41CC">
        <w:rPr>
          <w:rFonts w:ascii="Times New Roman" w:hAnsi="Times New Roman" w:cs="Times New Roman"/>
          <w:sz w:val="24"/>
          <w:szCs w:val="24"/>
        </w:rPr>
        <w:t>D’une façon géné</w:t>
      </w:r>
      <w:r w:rsidR="00EE517D" w:rsidRPr="00AF41CC">
        <w:rPr>
          <w:rFonts w:ascii="Times New Roman" w:hAnsi="Times New Roman" w:cs="Times New Roman"/>
          <w:sz w:val="24"/>
          <w:szCs w:val="24"/>
        </w:rPr>
        <w:t>rale</w:t>
      </w:r>
      <w:r w:rsidR="00CE7010" w:rsidRPr="00AF41CC">
        <w:rPr>
          <w:rFonts w:ascii="Times New Roman" w:hAnsi="Times New Roman" w:cs="Times New Roman"/>
          <w:sz w:val="24"/>
          <w:szCs w:val="24"/>
        </w:rPr>
        <w:t xml:space="preserve">, la globalisation est interprétée </w:t>
      </w:r>
      <w:r w:rsidR="00F20125" w:rsidRPr="00AF41CC">
        <w:rPr>
          <w:rFonts w:ascii="Times New Roman" w:hAnsi="Times New Roman" w:cs="Times New Roman"/>
          <w:sz w:val="24"/>
          <w:szCs w:val="24"/>
        </w:rPr>
        <w:t xml:space="preserve">dans cette perspective </w:t>
      </w:r>
      <w:r w:rsidR="00CE7010" w:rsidRPr="00AF41CC">
        <w:rPr>
          <w:rFonts w:ascii="Times New Roman" w:hAnsi="Times New Roman" w:cs="Times New Roman"/>
          <w:sz w:val="24"/>
          <w:szCs w:val="24"/>
        </w:rPr>
        <w:t>comme un processus d’uniformisation et d’homogénéisation</w:t>
      </w:r>
      <w:r w:rsidR="00B2612B" w:rsidRPr="00AF41CC">
        <w:rPr>
          <w:rFonts w:ascii="Times New Roman" w:hAnsi="Times New Roman" w:cs="Times New Roman"/>
          <w:sz w:val="24"/>
          <w:szCs w:val="24"/>
        </w:rPr>
        <w:t xml:space="preserve"> du monde sous l’effet de la puissance du capital</w:t>
      </w:r>
      <w:r w:rsidR="00CE7010" w:rsidRPr="00AF41CC">
        <w:rPr>
          <w:rFonts w:ascii="Times New Roman" w:hAnsi="Times New Roman" w:cs="Times New Roman"/>
          <w:sz w:val="24"/>
          <w:szCs w:val="24"/>
        </w:rPr>
        <w:t xml:space="preserve">. </w:t>
      </w:r>
      <w:r w:rsidR="001F62DB" w:rsidRPr="00AF41CC">
        <w:rPr>
          <w:rFonts w:ascii="Times New Roman" w:hAnsi="Times New Roman" w:cs="Times New Roman"/>
          <w:sz w:val="24"/>
          <w:szCs w:val="24"/>
        </w:rPr>
        <w:t xml:space="preserve">En témoigne </w:t>
      </w:r>
      <w:r w:rsidR="00F7377F" w:rsidRPr="00AF41CC">
        <w:rPr>
          <w:rFonts w:ascii="Times New Roman" w:hAnsi="Times New Roman" w:cs="Times New Roman"/>
          <w:sz w:val="24"/>
          <w:szCs w:val="24"/>
        </w:rPr>
        <w:t xml:space="preserve">l’expression </w:t>
      </w:r>
      <w:r w:rsidR="00B5522F" w:rsidRPr="00AF41CC">
        <w:rPr>
          <w:rFonts w:ascii="Times New Roman" w:hAnsi="Times New Roman" w:cs="Times New Roman"/>
          <w:sz w:val="24"/>
          <w:szCs w:val="24"/>
        </w:rPr>
        <w:t xml:space="preserve">éloquente </w:t>
      </w:r>
      <w:r w:rsidR="00F7377F" w:rsidRPr="00AF41CC">
        <w:rPr>
          <w:rFonts w:ascii="Times New Roman" w:hAnsi="Times New Roman" w:cs="Times New Roman"/>
          <w:sz w:val="24"/>
          <w:szCs w:val="24"/>
        </w:rPr>
        <w:t xml:space="preserve">de « monde lissé » : </w:t>
      </w:r>
      <w:r w:rsidR="000215B3" w:rsidRPr="00AF41CC">
        <w:rPr>
          <w:rFonts w:ascii="Times New Roman" w:hAnsi="Times New Roman" w:cs="Times New Roman"/>
          <w:sz w:val="24"/>
          <w:szCs w:val="24"/>
        </w:rPr>
        <w:t>« </w:t>
      </w:r>
      <w:r w:rsidR="008C2CDB" w:rsidRPr="00AF41CC">
        <w:rPr>
          <w:rFonts w:ascii="Times New Roman" w:hAnsi="Times New Roman" w:cs="Times New Roman"/>
          <w:sz w:val="24"/>
          <w:szCs w:val="24"/>
        </w:rPr>
        <w:t xml:space="preserve">l’égalisation générale ou </w:t>
      </w:r>
      <w:r w:rsidR="000215B3" w:rsidRPr="00AF41CC">
        <w:rPr>
          <w:rFonts w:ascii="Times New Roman" w:hAnsi="Times New Roman" w:cs="Times New Roman"/>
          <w:sz w:val="24"/>
          <w:szCs w:val="24"/>
        </w:rPr>
        <w:t>"</w:t>
      </w:r>
      <w:r w:rsidR="008C2CDB" w:rsidRPr="00AF41CC">
        <w:rPr>
          <w:rFonts w:ascii="Times New Roman" w:hAnsi="Times New Roman" w:cs="Times New Roman"/>
          <w:sz w:val="24"/>
          <w:szCs w:val="24"/>
        </w:rPr>
        <w:t>lissage</w:t>
      </w:r>
      <w:r w:rsidR="000215B3" w:rsidRPr="00AF41CC">
        <w:rPr>
          <w:rFonts w:ascii="Times New Roman" w:hAnsi="Times New Roman" w:cs="Times New Roman"/>
          <w:sz w:val="24"/>
          <w:szCs w:val="24"/>
        </w:rPr>
        <w:t>"</w:t>
      </w:r>
      <w:r w:rsidR="008C2CDB" w:rsidRPr="00AF41CC">
        <w:rPr>
          <w:rFonts w:ascii="Times New Roman" w:hAnsi="Times New Roman" w:cs="Times New Roman"/>
          <w:sz w:val="24"/>
          <w:szCs w:val="24"/>
        </w:rPr>
        <w:t xml:space="preserve"> de l’espace social</w:t>
      </w:r>
      <w:r w:rsidR="000215B3" w:rsidRPr="00AF41CC">
        <w:rPr>
          <w:rFonts w:ascii="Times New Roman" w:hAnsi="Times New Roman" w:cs="Times New Roman"/>
          <w:sz w:val="24"/>
          <w:szCs w:val="24"/>
        </w:rPr>
        <w:t> » se manifesterait « dans l’effacement de la société civile et le déclin des frontières nationales »</w:t>
      </w:r>
      <w:r w:rsidR="00EE517D" w:rsidRPr="00AF41CC">
        <w:rPr>
          <w:rFonts w:ascii="Times New Roman" w:hAnsi="Times New Roman" w:cs="Times New Roman"/>
          <w:sz w:val="24"/>
          <w:szCs w:val="24"/>
        </w:rPr>
        <w:t xml:space="preserve"> et</w:t>
      </w:r>
      <w:r w:rsidR="000215B3" w:rsidRPr="00AF41CC">
        <w:rPr>
          <w:rFonts w:ascii="Times New Roman" w:hAnsi="Times New Roman" w:cs="Times New Roman"/>
          <w:sz w:val="24"/>
          <w:szCs w:val="24"/>
        </w:rPr>
        <w:t xml:space="preserve"> </w:t>
      </w:r>
      <w:r w:rsidR="00F7377F" w:rsidRPr="00AF41CC">
        <w:rPr>
          <w:rFonts w:ascii="Times New Roman" w:hAnsi="Times New Roman" w:cs="Times New Roman"/>
          <w:sz w:val="24"/>
          <w:szCs w:val="24"/>
        </w:rPr>
        <w:t>« l’espace lisse du marché mondial capitaliste » p</w:t>
      </w:r>
      <w:r w:rsidR="008C2CDB" w:rsidRPr="00AF41CC">
        <w:rPr>
          <w:rFonts w:ascii="Times New Roman" w:hAnsi="Times New Roman" w:cs="Times New Roman"/>
          <w:sz w:val="24"/>
          <w:szCs w:val="24"/>
        </w:rPr>
        <w:t>ourrai</w:t>
      </w:r>
      <w:r w:rsidR="00F7377F" w:rsidRPr="00AF41CC">
        <w:rPr>
          <w:rFonts w:ascii="Times New Roman" w:hAnsi="Times New Roman" w:cs="Times New Roman"/>
          <w:sz w:val="24"/>
          <w:szCs w:val="24"/>
        </w:rPr>
        <w:t xml:space="preserve">t </w:t>
      </w:r>
      <w:r w:rsidR="008E36B5" w:rsidRPr="00AF41CC">
        <w:rPr>
          <w:rFonts w:ascii="Times New Roman" w:hAnsi="Times New Roman" w:cs="Times New Roman"/>
          <w:sz w:val="24"/>
          <w:szCs w:val="24"/>
        </w:rPr>
        <w:t>ainsi s</w:t>
      </w:r>
      <w:r w:rsidR="00F7377F" w:rsidRPr="00AF41CC">
        <w:rPr>
          <w:rFonts w:ascii="Times New Roman" w:hAnsi="Times New Roman" w:cs="Times New Roman"/>
          <w:sz w:val="24"/>
          <w:szCs w:val="24"/>
        </w:rPr>
        <w:t>e dépl</w:t>
      </w:r>
      <w:r w:rsidR="008E36B5" w:rsidRPr="00AF41CC">
        <w:rPr>
          <w:rFonts w:ascii="Times New Roman" w:hAnsi="Times New Roman" w:cs="Times New Roman"/>
          <w:sz w:val="24"/>
          <w:szCs w:val="24"/>
        </w:rPr>
        <w:t>oyer sans entrave</w:t>
      </w:r>
      <w:r w:rsidR="008E36B5" w:rsidRPr="00AF41CC">
        <w:rPr>
          <w:rStyle w:val="Appelnotedebasdep"/>
          <w:rFonts w:ascii="Times New Roman" w:hAnsi="Times New Roman" w:cs="Times New Roman"/>
          <w:sz w:val="24"/>
          <w:szCs w:val="24"/>
        </w:rPr>
        <w:footnoteReference w:id="9"/>
      </w:r>
      <w:r w:rsidR="008E36B5" w:rsidRPr="00AF41CC">
        <w:rPr>
          <w:rFonts w:ascii="Times New Roman" w:hAnsi="Times New Roman" w:cs="Times New Roman"/>
          <w:sz w:val="24"/>
          <w:szCs w:val="24"/>
        </w:rPr>
        <w:t xml:space="preserve">. </w:t>
      </w:r>
      <w:r w:rsidR="009E449C" w:rsidRPr="00AF41CC">
        <w:rPr>
          <w:rFonts w:ascii="Times New Roman" w:hAnsi="Times New Roman" w:cs="Times New Roman"/>
          <w:sz w:val="24"/>
          <w:szCs w:val="24"/>
        </w:rPr>
        <w:t>Mais l’i</w:t>
      </w:r>
      <w:r w:rsidR="00F20125" w:rsidRPr="00AF41CC">
        <w:rPr>
          <w:rFonts w:ascii="Times New Roman" w:hAnsi="Times New Roman" w:cs="Times New Roman"/>
          <w:sz w:val="24"/>
          <w:szCs w:val="24"/>
        </w:rPr>
        <w:t>dée</w:t>
      </w:r>
      <w:r w:rsidR="009E449C" w:rsidRPr="00AF41CC">
        <w:rPr>
          <w:rFonts w:ascii="Times New Roman" w:hAnsi="Times New Roman" w:cs="Times New Roman"/>
          <w:sz w:val="24"/>
          <w:szCs w:val="24"/>
        </w:rPr>
        <w:t xml:space="preserve"> d’une « globalisation </w:t>
      </w:r>
      <w:r w:rsidR="0084643C" w:rsidRPr="00AF41CC">
        <w:rPr>
          <w:rFonts w:ascii="Times New Roman" w:hAnsi="Times New Roman" w:cs="Times New Roman"/>
          <w:sz w:val="24"/>
          <w:szCs w:val="24"/>
        </w:rPr>
        <w:t xml:space="preserve">linéaire et </w:t>
      </w:r>
      <w:r w:rsidR="009E449C" w:rsidRPr="00AF41CC">
        <w:rPr>
          <w:rFonts w:ascii="Times New Roman" w:hAnsi="Times New Roman" w:cs="Times New Roman"/>
          <w:sz w:val="24"/>
          <w:szCs w:val="24"/>
        </w:rPr>
        <w:t xml:space="preserve">uniforme » est précisément </w:t>
      </w:r>
      <w:r w:rsidR="00F20125" w:rsidRPr="00AF41CC">
        <w:rPr>
          <w:rFonts w:ascii="Times New Roman" w:hAnsi="Times New Roman" w:cs="Times New Roman"/>
          <w:sz w:val="24"/>
          <w:szCs w:val="24"/>
        </w:rPr>
        <w:t xml:space="preserve">une </w:t>
      </w:r>
      <w:r w:rsidR="0084643C" w:rsidRPr="00AF41CC">
        <w:rPr>
          <w:rFonts w:ascii="Times New Roman" w:hAnsi="Times New Roman" w:cs="Times New Roman"/>
          <w:sz w:val="24"/>
          <w:szCs w:val="24"/>
        </w:rPr>
        <w:t>i</w:t>
      </w:r>
      <w:r w:rsidR="00F20125" w:rsidRPr="00AF41CC">
        <w:rPr>
          <w:rFonts w:ascii="Times New Roman" w:hAnsi="Times New Roman" w:cs="Times New Roman"/>
          <w:sz w:val="24"/>
          <w:szCs w:val="24"/>
        </w:rPr>
        <w:t xml:space="preserve">llusion </w:t>
      </w:r>
      <w:r w:rsidR="009E449C" w:rsidRPr="00AF41CC">
        <w:rPr>
          <w:rFonts w:ascii="Times New Roman" w:hAnsi="Times New Roman" w:cs="Times New Roman"/>
          <w:sz w:val="24"/>
          <w:szCs w:val="24"/>
        </w:rPr>
        <w:t>dont nous devons nous défaire</w:t>
      </w:r>
      <w:r w:rsidR="00095129" w:rsidRPr="00AF41CC">
        <w:rPr>
          <w:rStyle w:val="Appelnotedebasdep"/>
          <w:rFonts w:ascii="Times New Roman" w:hAnsi="Times New Roman" w:cs="Times New Roman"/>
          <w:sz w:val="24"/>
          <w:szCs w:val="24"/>
        </w:rPr>
        <w:footnoteReference w:id="10"/>
      </w:r>
      <w:r w:rsidR="00095129" w:rsidRPr="00AF41CC">
        <w:rPr>
          <w:rFonts w:ascii="Times New Roman" w:hAnsi="Times New Roman" w:cs="Times New Roman"/>
          <w:sz w:val="24"/>
          <w:szCs w:val="24"/>
        </w:rPr>
        <w:t>.</w:t>
      </w:r>
      <w:r w:rsidR="009E449C" w:rsidRPr="00AF41CC">
        <w:rPr>
          <w:rFonts w:ascii="Times New Roman" w:hAnsi="Times New Roman" w:cs="Times New Roman"/>
          <w:sz w:val="24"/>
          <w:szCs w:val="24"/>
        </w:rPr>
        <w:t xml:space="preserve"> </w:t>
      </w:r>
      <w:r w:rsidR="00C42985" w:rsidRPr="00AF41CC">
        <w:rPr>
          <w:rFonts w:ascii="Times New Roman" w:hAnsi="Times New Roman" w:cs="Times New Roman"/>
          <w:sz w:val="24"/>
          <w:szCs w:val="24"/>
        </w:rPr>
        <w:t xml:space="preserve">C’est elle qui </w:t>
      </w:r>
      <w:r w:rsidR="009E449C" w:rsidRPr="00AF41CC">
        <w:rPr>
          <w:rFonts w:ascii="Times New Roman" w:hAnsi="Times New Roman" w:cs="Times New Roman"/>
          <w:sz w:val="24"/>
          <w:szCs w:val="24"/>
        </w:rPr>
        <w:t>impose l’image d’un « monde homogène » auquel nous aurions les uns et les autres à nous adapter</w:t>
      </w:r>
      <w:r w:rsidR="0084643C" w:rsidRPr="00AF41CC">
        <w:rPr>
          <w:rFonts w:ascii="Times New Roman" w:hAnsi="Times New Roman" w:cs="Times New Roman"/>
          <w:sz w:val="24"/>
          <w:szCs w:val="24"/>
        </w:rPr>
        <w:t>.</w:t>
      </w:r>
      <w:r w:rsidR="009E449C" w:rsidRPr="00AF41CC">
        <w:rPr>
          <w:rFonts w:ascii="Times New Roman" w:hAnsi="Times New Roman" w:cs="Times New Roman"/>
          <w:sz w:val="24"/>
          <w:szCs w:val="24"/>
        </w:rPr>
        <w:t xml:space="preserve"> </w:t>
      </w:r>
      <w:r w:rsidR="00443A9F" w:rsidRPr="00AF41CC">
        <w:rPr>
          <w:rFonts w:ascii="Times New Roman" w:hAnsi="Times New Roman" w:cs="Times New Roman"/>
          <w:sz w:val="24"/>
          <w:szCs w:val="24"/>
        </w:rPr>
        <w:t xml:space="preserve">Pour peu qu’on </w:t>
      </w:r>
      <w:r w:rsidR="00361D0D" w:rsidRPr="00AF41CC">
        <w:rPr>
          <w:rFonts w:ascii="Times New Roman" w:hAnsi="Times New Roman" w:cs="Times New Roman"/>
          <w:sz w:val="24"/>
          <w:szCs w:val="24"/>
        </w:rPr>
        <w:t>renonce à cette image</w:t>
      </w:r>
      <w:r w:rsidR="00443A9F" w:rsidRPr="00AF41CC">
        <w:rPr>
          <w:rFonts w:ascii="Times New Roman" w:hAnsi="Times New Roman" w:cs="Times New Roman"/>
          <w:sz w:val="24"/>
          <w:szCs w:val="24"/>
        </w:rPr>
        <w:t xml:space="preserve">, on découvrira que la souveraineté des Etats-nations </w:t>
      </w:r>
      <w:r w:rsidR="00361D0D" w:rsidRPr="00AF41CC">
        <w:rPr>
          <w:rFonts w:ascii="Times New Roman" w:hAnsi="Times New Roman" w:cs="Times New Roman"/>
          <w:sz w:val="24"/>
          <w:szCs w:val="24"/>
        </w:rPr>
        <w:t>s’est transformée sans pour autant disparaître. Il ne suffit pas</w:t>
      </w:r>
      <w:r w:rsidR="00E25F76" w:rsidRPr="00AF41CC">
        <w:rPr>
          <w:rFonts w:ascii="Times New Roman" w:hAnsi="Times New Roman" w:cs="Times New Roman"/>
          <w:sz w:val="24"/>
          <w:szCs w:val="24"/>
        </w:rPr>
        <w:t xml:space="preserve"> </w:t>
      </w:r>
      <w:r w:rsidR="00361D0D" w:rsidRPr="00AF41CC">
        <w:rPr>
          <w:rFonts w:ascii="Times New Roman" w:hAnsi="Times New Roman" w:cs="Times New Roman"/>
          <w:sz w:val="24"/>
          <w:szCs w:val="24"/>
        </w:rPr>
        <w:t>de reconnaître que « les prérogatives régaliennes de la souveraineté moderne réapparaissent dans l’Empire » sous une forme modifiée</w:t>
      </w:r>
      <w:r w:rsidR="00F077ED" w:rsidRPr="00AF41CC">
        <w:rPr>
          <w:rFonts w:ascii="Times New Roman" w:hAnsi="Times New Roman" w:cs="Times New Roman"/>
          <w:sz w:val="24"/>
          <w:szCs w:val="24"/>
        </w:rPr>
        <w:t xml:space="preserve">, il faut renoncer à l’idée même d’une mystérieuse souveraineté impériale </w:t>
      </w:r>
      <w:r w:rsidR="004150DF" w:rsidRPr="00AF41CC">
        <w:rPr>
          <w:rFonts w:ascii="Times New Roman" w:hAnsi="Times New Roman" w:cs="Times New Roman"/>
          <w:sz w:val="24"/>
          <w:szCs w:val="24"/>
        </w:rPr>
        <w:t>« </w:t>
      </w:r>
      <w:r w:rsidR="00F077ED" w:rsidRPr="00AF41CC">
        <w:rPr>
          <w:rFonts w:ascii="Times New Roman" w:hAnsi="Times New Roman" w:cs="Times New Roman"/>
          <w:sz w:val="24"/>
          <w:szCs w:val="24"/>
        </w:rPr>
        <w:t>virtuelle</w:t>
      </w:r>
      <w:r w:rsidR="004150DF" w:rsidRPr="00AF41CC">
        <w:rPr>
          <w:rFonts w:ascii="Times New Roman" w:hAnsi="Times New Roman" w:cs="Times New Roman"/>
          <w:sz w:val="24"/>
          <w:szCs w:val="24"/>
        </w:rPr>
        <w:t> »</w:t>
      </w:r>
      <w:r w:rsidR="00F077ED" w:rsidRPr="00AF41CC">
        <w:rPr>
          <w:rFonts w:ascii="Times New Roman" w:hAnsi="Times New Roman" w:cs="Times New Roman"/>
          <w:sz w:val="24"/>
          <w:szCs w:val="24"/>
        </w:rPr>
        <w:t xml:space="preserve"> et</w:t>
      </w:r>
      <w:r w:rsidR="004150DF" w:rsidRPr="00AF41CC">
        <w:rPr>
          <w:rFonts w:ascii="Times New Roman" w:hAnsi="Times New Roman" w:cs="Times New Roman"/>
          <w:sz w:val="24"/>
          <w:szCs w:val="24"/>
        </w:rPr>
        <w:t xml:space="preserve"> « discontinue »</w:t>
      </w:r>
      <w:r w:rsidR="00F077ED" w:rsidRPr="00AF41CC">
        <w:rPr>
          <w:rStyle w:val="Appelnotedebasdep"/>
          <w:rFonts w:ascii="Times New Roman" w:hAnsi="Times New Roman" w:cs="Times New Roman"/>
          <w:sz w:val="24"/>
          <w:szCs w:val="24"/>
        </w:rPr>
        <w:footnoteReference w:id="11"/>
      </w:r>
      <w:r w:rsidR="00D057A3" w:rsidRPr="00AF41CC">
        <w:rPr>
          <w:rFonts w:ascii="Times New Roman" w:hAnsi="Times New Roman" w:cs="Times New Roman"/>
          <w:sz w:val="24"/>
          <w:szCs w:val="24"/>
        </w:rPr>
        <w:t xml:space="preserve"> pour pouvoir identifier les formes nouvelles sous lesquelles agit la souveraineté</w:t>
      </w:r>
      <w:r w:rsidR="00E375E4" w:rsidRPr="00AF41CC">
        <w:rPr>
          <w:rFonts w:ascii="Times New Roman" w:hAnsi="Times New Roman" w:cs="Times New Roman"/>
          <w:sz w:val="24"/>
          <w:szCs w:val="24"/>
        </w:rPr>
        <w:t xml:space="preserve"> étatique.</w:t>
      </w:r>
    </w:p>
    <w:p w14:paraId="2749570F" w14:textId="28F74165" w:rsidR="0054076F" w:rsidRPr="00AF41CC" w:rsidRDefault="00F60ED9" w:rsidP="005D3353">
      <w:pPr>
        <w:spacing w:line="360" w:lineRule="auto"/>
        <w:jc w:val="both"/>
        <w:rPr>
          <w:rFonts w:ascii="Times New Roman" w:hAnsi="Times New Roman" w:cs="Times New Roman"/>
          <w:b/>
          <w:bCs/>
          <w:sz w:val="24"/>
          <w:szCs w:val="24"/>
        </w:rPr>
      </w:pPr>
      <w:r w:rsidRPr="00AF41CC">
        <w:rPr>
          <w:rFonts w:ascii="Times New Roman" w:hAnsi="Times New Roman" w:cs="Times New Roman"/>
          <w:b/>
          <w:bCs/>
          <w:sz w:val="24"/>
          <w:szCs w:val="24"/>
        </w:rPr>
        <w:t>S</w:t>
      </w:r>
      <w:r w:rsidR="0054076F" w:rsidRPr="00AF41CC">
        <w:rPr>
          <w:rFonts w:ascii="Times New Roman" w:hAnsi="Times New Roman" w:cs="Times New Roman"/>
          <w:b/>
          <w:bCs/>
          <w:sz w:val="24"/>
          <w:szCs w:val="24"/>
        </w:rPr>
        <w:t>ouveraineté européenne </w:t>
      </w:r>
      <w:r w:rsidRPr="00AF41CC">
        <w:rPr>
          <w:rFonts w:ascii="Times New Roman" w:hAnsi="Times New Roman" w:cs="Times New Roman"/>
          <w:b/>
          <w:bCs/>
          <w:sz w:val="24"/>
          <w:szCs w:val="24"/>
        </w:rPr>
        <w:t xml:space="preserve">ou </w:t>
      </w:r>
      <w:r w:rsidR="00A46EAF" w:rsidRPr="00AF41CC">
        <w:rPr>
          <w:rFonts w:ascii="Times New Roman" w:hAnsi="Times New Roman" w:cs="Times New Roman"/>
          <w:b/>
          <w:bCs/>
          <w:sz w:val="24"/>
          <w:szCs w:val="24"/>
        </w:rPr>
        <w:t>« </w:t>
      </w:r>
      <w:r w:rsidRPr="00AF41CC">
        <w:rPr>
          <w:rFonts w:ascii="Times New Roman" w:hAnsi="Times New Roman" w:cs="Times New Roman"/>
          <w:b/>
          <w:bCs/>
          <w:sz w:val="24"/>
          <w:szCs w:val="24"/>
        </w:rPr>
        <w:t>autonomie stratégique</w:t>
      </w:r>
      <w:r w:rsidR="00A46EAF" w:rsidRPr="00AF41CC">
        <w:rPr>
          <w:rFonts w:ascii="Times New Roman" w:hAnsi="Times New Roman" w:cs="Times New Roman"/>
          <w:b/>
          <w:bCs/>
          <w:sz w:val="24"/>
          <w:szCs w:val="24"/>
        </w:rPr>
        <w:t xml:space="preserve"> » </w:t>
      </w:r>
      <w:r w:rsidR="0054076F" w:rsidRPr="00AF41CC">
        <w:rPr>
          <w:rFonts w:ascii="Times New Roman" w:hAnsi="Times New Roman" w:cs="Times New Roman"/>
          <w:b/>
          <w:bCs/>
          <w:sz w:val="24"/>
          <w:szCs w:val="24"/>
        </w:rPr>
        <w:t xml:space="preserve">? </w:t>
      </w:r>
    </w:p>
    <w:p w14:paraId="0C89E184" w14:textId="22937F1B" w:rsidR="00947181" w:rsidRPr="00AF41CC" w:rsidRDefault="00E25F76" w:rsidP="005D3353">
      <w:pPr>
        <w:spacing w:line="360" w:lineRule="auto"/>
        <w:jc w:val="both"/>
        <w:rPr>
          <w:rFonts w:ascii="Times New Roman" w:hAnsi="Times New Roman" w:cs="Times New Roman"/>
          <w:sz w:val="24"/>
          <w:szCs w:val="24"/>
        </w:rPr>
      </w:pPr>
      <w:r w:rsidRPr="00AF41CC">
        <w:rPr>
          <w:rFonts w:ascii="Times New Roman" w:hAnsi="Times New Roman" w:cs="Times New Roman"/>
          <w:sz w:val="24"/>
          <w:szCs w:val="24"/>
        </w:rPr>
        <w:t xml:space="preserve">A cet égard, l’exemple de l’Europe </w:t>
      </w:r>
      <w:r w:rsidR="006815D0" w:rsidRPr="00AF41CC">
        <w:rPr>
          <w:rFonts w:ascii="Times New Roman" w:hAnsi="Times New Roman" w:cs="Times New Roman"/>
          <w:sz w:val="24"/>
          <w:szCs w:val="24"/>
        </w:rPr>
        <w:t xml:space="preserve">mérite </w:t>
      </w:r>
      <w:r w:rsidR="004150DF" w:rsidRPr="00AF41CC">
        <w:rPr>
          <w:rFonts w:ascii="Times New Roman" w:hAnsi="Times New Roman" w:cs="Times New Roman"/>
          <w:sz w:val="24"/>
          <w:szCs w:val="24"/>
        </w:rPr>
        <w:t xml:space="preserve">la plus haute </w:t>
      </w:r>
      <w:r w:rsidR="006815D0" w:rsidRPr="00AF41CC">
        <w:rPr>
          <w:rFonts w:ascii="Times New Roman" w:hAnsi="Times New Roman" w:cs="Times New Roman"/>
          <w:sz w:val="24"/>
          <w:szCs w:val="24"/>
        </w:rPr>
        <w:t xml:space="preserve">considération. </w:t>
      </w:r>
      <w:r w:rsidR="0027787B" w:rsidRPr="00AF41CC">
        <w:rPr>
          <w:rFonts w:ascii="Times New Roman" w:hAnsi="Times New Roman" w:cs="Times New Roman"/>
          <w:sz w:val="24"/>
          <w:szCs w:val="24"/>
        </w:rPr>
        <w:t>En un</w:t>
      </w:r>
      <w:r w:rsidR="00F84364" w:rsidRPr="00AF41CC">
        <w:rPr>
          <w:rFonts w:ascii="Times New Roman" w:hAnsi="Times New Roman" w:cs="Times New Roman"/>
          <w:sz w:val="24"/>
          <w:szCs w:val="24"/>
        </w:rPr>
        <w:t>e incise</w:t>
      </w:r>
      <w:r w:rsidR="00BD1BA2" w:rsidRPr="00AF41CC">
        <w:rPr>
          <w:rFonts w:ascii="Times New Roman" w:hAnsi="Times New Roman" w:cs="Times New Roman"/>
          <w:sz w:val="24"/>
          <w:szCs w:val="24"/>
        </w:rPr>
        <w:t xml:space="preserve"> déroutante,</w:t>
      </w:r>
      <w:r w:rsidR="0027787B" w:rsidRPr="00AF41CC">
        <w:rPr>
          <w:rFonts w:ascii="Times New Roman" w:hAnsi="Times New Roman" w:cs="Times New Roman"/>
          <w:sz w:val="24"/>
          <w:szCs w:val="24"/>
        </w:rPr>
        <w:t xml:space="preserve"> </w:t>
      </w:r>
      <w:r w:rsidR="0054076F" w:rsidRPr="00AF41CC">
        <w:rPr>
          <w:rFonts w:ascii="Times New Roman" w:hAnsi="Times New Roman" w:cs="Times New Roman"/>
          <w:sz w:val="24"/>
          <w:szCs w:val="24"/>
        </w:rPr>
        <w:t>Wendy Brown</w:t>
      </w:r>
      <w:r w:rsidR="00947181" w:rsidRPr="00AF41CC">
        <w:rPr>
          <w:rFonts w:ascii="Times New Roman" w:hAnsi="Times New Roman" w:cs="Times New Roman"/>
          <w:sz w:val="24"/>
          <w:szCs w:val="24"/>
        </w:rPr>
        <w:t xml:space="preserve"> n’hésite pas à rapprocher la création de la monnaie par la Couronne </w:t>
      </w:r>
      <w:r w:rsidR="006815D0" w:rsidRPr="00AF41CC">
        <w:rPr>
          <w:rFonts w:ascii="Times New Roman" w:hAnsi="Times New Roman" w:cs="Times New Roman"/>
          <w:sz w:val="24"/>
          <w:szCs w:val="24"/>
        </w:rPr>
        <w:t xml:space="preserve">anglaise </w:t>
      </w:r>
      <w:r w:rsidR="00947181" w:rsidRPr="00AF41CC">
        <w:rPr>
          <w:rFonts w:ascii="Times New Roman" w:hAnsi="Times New Roman" w:cs="Times New Roman"/>
          <w:sz w:val="24"/>
          <w:szCs w:val="24"/>
        </w:rPr>
        <w:t>de la création de l’euro quelques siècles plus tard</w:t>
      </w:r>
      <w:r w:rsidR="00164A97" w:rsidRPr="00AF41CC">
        <w:rPr>
          <w:rStyle w:val="Appelnotedebasdep"/>
          <w:rFonts w:ascii="Times New Roman" w:hAnsi="Times New Roman" w:cs="Times New Roman"/>
          <w:sz w:val="24"/>
          <w:szCs w:val="24"/>
        </w:rPr>
        <w:footnoteReference w:id="12"/>
      </w:r>
      <w:r w:rsidR="00947181" w:rsidRPr="00AF41CC">
        <w:rPr>
          <w:rFonts w:ascii="Times New Roman" w:hAnsi="Times New Roman" w:cs="Times New Roman"/>
          <w:sz w:val="24"/>
          <w:szCs w:val="24"/>
        </w:rPr>
        <w:t xml:space="preserve">. Faut-il comprendre que la création de l’euro </w:t>
      </w:r>
      <w:r w:rsidR="00A63A96" w:rsidRPr="00AF41CC">
        <w:rPr>
          <w:rFonts w:ascii="Times New Roman" w:hAnsi="Times New Roman" w:cs="Times New Roman"/>
          <w:sz w:val="24"/>
          <w:szCs w:val="24"/>
        </w:rPr>
        <w:t>procède de la même exigence,</w:t>
      </w:r>
      <w:r w:rsidR="00947181" w:rsidRPr="00AF41CC">
        <w:rPr>
          <w:rFonts w:ascii="Times New Roman" w:hAnsi="Times New Roman" w:cs="Times New Roman"/>
          <w:sz w:val="24"/>
          <w:szCs w:val="24"/>
        </w:rPr>
        <w:t xml:space="preserve"> celui d</w:t>
      </w:r>
      <w:r w:rsidR="00A63A96" w:rsidRPr="00AF41CC">
        <w:rPr>
          <w:rFonts w:ascii="Times New Roman" w:hAnsi="Times New Roman" w:cs="Times New Roman"/>
          <w:sz w:val="24"/>
          <w:szCs w:val="24"/>
        </w:rPr>
        <w:t xml:space="preserve">’une </w:t>
      </w:r>
      <w:r w:rsidR="00947181" w:rsidRPr="00AF41CC">
        <w:rPr>
          <w:rFonts w:ascii="Times New Roman" w:hAnsi="Times New Roman" w:cs="Times New Roman"/>
          <w:sz w:val="24"/>
          <w:szCs w:val="24"/>
        </w:rPr>
        <w:t>subord</w:t>
      </w:r>
      <w:r w:rsidR="00A63A96" w:rsidRPr="00AF41CC">
        <w:rPr>
          <w:rFonts w:ascii="Times New Roman" w:hAnsi="Times New Roman" w:cs="Times New Roman"/>
          <w:sz w:val="24"/>
          <w:szCs w:val="24"/>
        </w:rPr>
        <w:t>i</w:t>
      </w:r>
      <w:r w:rsidR="00947181" w:rsidRPr="00AF41CC">
        <w:rPr>
          <w:rFonts w:ascii="Times New Roman" w:hAnsi="Times New Roman" w:cs="Times New Roman"/>
          <w:sz w:val="24"/>
          <w:szCs w:val="24"/>
        </w:rPr>
        <w:t>n</w:t>
      </w:r>
      <w:r w:rsidR="00A63A96" w:rsidRPr="00AF41CC">
        <w:rPr>
          <w:rFonts w:ascii="Times New Roman" w:hAnsi="Times New Roman" w:cs="Times New Roman"/>
          <w:sz w:val="24"/>
          <w:szCs w:val="24"/>
        </w:rPr>
        <w:t>ation de</w:t>
      </w:r>
      <w:r w:rsidR="00947181" w:rsidRPr="00AF41CC">
        <w:rPr>
          <w:rFonts w:ascii="Times New Roman" w:hAnsi="Times New Roman" w:cs="Times New Roman"/>
          <w:sz w:val="24"/>
          <w:szCs w:val="24"/>
        </w:rPr>
        <w:t xml:space="preserve"> l’économie à la politique ? </w:t>
      </w:r>
      <w:r w:rsidR="003B26C0" w:rsidRPr="00AF41CC">
        <w:rPr>
          <w:rFonts w:ascii="Times New Roman" w:hAnsi="Times New Roman" w:cs="Times New Roman"/>
          <w:sz w:val="24"/>
          <w:szCs w:val="24"/>
        </w:rPr>
        <w:t xml:space="preserve">Si l’on prend au sérieux ce parallèle, il ne peut signifier qu’une chose : de même que </w:t>
      </w:r>
      <w:r w:rsidR="005D4293" w:rsidRPr="00AF41CC">
        <w:rPr>
          <w:rFonts w:ascii="Times New Roman" w:hAnsi="Times New Roman" w:cs="Times New Roman"/>
          <w:sz w:val="24"/>
          <w:szCs w:val="24"/>
        </w:rPr>
        <w:t xml:space="preserve">l’abolition des monnaies locales </w:t>
      </w:r>
      <w:r w:rsidR="003B26C0" w:rsidRPr="00AF41CC">
        <w:rPr>
          <w:rFonts w:ascii="Times New Roman" w:hAnsi="Times New Roman" w:cs="Times New Roman"/>
          <w:sz w:val="24"/>
          <w:szCs w:val="24"/>
        </w:rPr>
        <w:t xml:space="preserve">au profit de la monnaie royale </w:t>
      </w:r>
      <w:r w:rsidR="005D4293" w:rsidRPr="00AF41CC">
        <w:rPr>
          <w:rFonts w:ascii="Times New Roman" w:hAnsi="Times New Roman" w:cs="Times New Roman"/>
          <w:sz w:val="24"/>
          <w:szCs w:val="24"/>
        </w:rPr>
        <w:t>visait à abolir les souverainetés locales, le remplacement</w:t>
      </w:r>
      <w:r w:rsidR="0027787B" w:rsidRPr="00AF41CC">
        <w:rPr>
          <w:rFonts w:ascii="Times New Roman" w:hAnsi="Times New Roman" w:cs="Times New Roman"/>
          <w:sz w:val="24"/>
          <w:szCs w:val="24"/>
        </w:rPr>
        <w:t xml:space="preserve"> des monnaies nationales </w:t>
      </w:r>
      <w:r w:rsidR="005D4293" w:rsidRPr="00AF41CC">
        <w:rPr>
          <w:rFonts w:ascii="Times New Roman" w:hAnsi="Times New Roman" w:cs="Times New Roman"/>
          <w:sz w:val="24"/>
          <w:szCs w:val="24"/>
        </w:rPr>
        <w:t>par l’euro aurait</w:t>
      </w:r>
      <w:r w:rsidR="003B26C0" w:rsidRPr="00AF41CC">
        <w:rPr>
          <w:rFonts w:ascii="Times New Roman" w:hAnsi="Times New Roman" w:cs="Times New Roman"/>
          <w:sz w:val="24"/>
          <w:szCs w:val="24"/>
        </w:rPr>
        <w:t xml:space="preserve"> </w:t>
      </w:r>
      <w:r w:rsidR="0027787B" w:rsidRPr="00AF41CC">
        <w:rPr>
          <w:rFonts w:ascii="Times New Roman" w:hAnsi="Times New Roman" w:cs="Times New Roman"/>
          <w:sz w:val="24"/>
          <w:szCs w:val="24"/>
        </w:rPr>
        <w:t>vis</w:t>
      </w:r>
      <w:r w:rsidR="005D4293" w:rsidRPr="00AF41CC">
        <w:rPr>
          <w:rFonts w:ascii="Times New Roman" w:hAnsi="Times New Roman" w:cs="Times New Roman"/>
          <w:sz w:val="24"/>
          <w:szCs w:val="24"/>
        </w:rPr>
        <w:t>é à supprimer les souverainetés nationales</w:t>
      </w:r>
      <w:r w:rsidR="003B26C0" w:rsidRPr="00AF41CC">
        <w:rPr>
          <w:rFonts w:ascii="Times New Roman" w:hAnsi="Times New Roman" w:cs="Times New Roman"/>
          <w:sz w:val="24"/>
          <w:szCs w:val="24"/>
        </w:rPr>
        <w:t xml:space="preserve"> au profit d’une souveraineté supranationale. </w:t>
      </w:r>
      <w:r w:rsidR="00947181" w:rsidRPr="00AF41CC">
        <w:rPr>
          <w:rFonts w:ascii="Times New Roman" w:hAnsi="Times New Roman" w:cs="Times New Roman"/>
          <w:sz w:val="24"/>
          <w:szCs w:val="24"/>
        </w:rPr>
        <w:t>Pourtan</w:t>
      </w:r>
      <w:r w:rsidR="00E14538" w:rsidRPr="00AF41CC">
        <w:rPr>
          <w:rFonts w:ascii="Times New Roman" w:hAnsi="Times New Roman" w:cs="Times New Roman"/>
          <w:sz w:val="24"/>
          <w:szCs w:val="24"/>
        </w:rPr>
        <w:t xml:space="preserve">t, en remplaçant les monnaies nationales par l’euro, l’Union européenne se défend d’« abolir » les souverainetés nationales </w:t>
      </w:r>
      <w:r w:rsidR="00E14538" w:rsidRPr="00AF41CC">
        <w:rPr>
          <w:rFonts w:ascii="Times New Roman" w:hAnsi="Times New Roman" w:cs="Times New Roman"/>
          <w:sz w:val="24"/>
          <w:szCs w:val="24"/>
        </w:rPr>
        <w:lastRenderedPageBreak/>
        <w:t>et, loin de vouloir soumettre directement l’économie à la politique, elle entend bien plutôt soustraire la conduite de l’économie au champ de la délibération publique. Elle</w:t>
      </w:r>
      <w:r w:rsidR="00947181" w:rsidRPr="00AF41CC">
        <w:rPr>
          <w:rFonts w:ascii="Times New Roman" w:hAnsi="Times New Roman" w:cs="Times New Roman"/>
          <w:sz w:val="24"/>
          <w:szCs w:val="24"/>
        </w:rPr>
        <w:t xml:space="preserve"> se défend </w:t>
      </w:r>
      <w:r w:rsidR="00E14538" w:rsidRPr="00AF41CC">
        <w:rPr>
          <w:rFonts w:ascii="Times New Roman" w:hAnsi="Times New Roman" w:cs="Times New Roman"/>
          <w:sz w:val="24"/>
          <w:szCs w:val="24"/>
        </w:rPr>
        <w:t xml:space="preserve">également </w:t>
      </w:r>
      <w:r w:rsidR="00947181" w:rsidRPr="00AF41CC">
        <w:rPr>
          <w:rFonts w:ascii="Times New Roman" w:hAnsi="Times New Roman" w:cs="Times New Roman"/>
          <w:sz w:val="24"/>
          <w:szCs w:val="24"/>
        </w:rPr>
        <w:t>d’être un super-Etat</w:t>
      </w:r>
      <w:r w:rsidR="003B26C0" w:rsidRPr="00AF41CC">
        <w:rPr>
          <w:rFonts w:ascii="Times New Roman" w:hAnsi="Times New Roman" w:cs="Times New Roman"/>
          <w:sz w:val="24"/>
          <w:szCs w:val="24"/>
        </w:rPr>
        <w:t>,</w:t>
      </w:r>
      <w:r w:rsidR="00947181" w:rsidRPr="00AF41CC">
        <w:rPr>
          <w:rFonts w:ascii="Times New Roman" w:hAnsi="Times New Roman" w:cs="Times New Roman"/>
          <w:sz w:val="24"/>
          <w:szCs w:val="24"/>
        </w:rPr>
        <w:t xml:space="preserve"> et, de fait,</w:t>
      </w:r>
      <w:r w:rsidR="00A63A96" w:rsidRPr="00AF41CC">
        <w:rPr>
          <w:rFonts w:ascii="Times New Roman" w:hAnsi="Times New Roman" w:cs="Times New Roman"/>
          <w:sz w:val="24"/>
          <w:szCs w:val="24"/>
        </w:rPr>
        <w:t xml:space="preserve"> sauf dans les discours d</w:t>
      </w:r>
      <w:r w:rsidR="006923F2" w:rsidRPr="00AF41CC">
        <w:rPr>
          <w:rFonts w:ascii="Times New Roman" w:hAnsi="Times New Roman" w:cs="Times New Roman"/>
          <w:sz w:val="24"/>
          <w:szCs w:val="24"/>
        </w:rPr>
        <w:t>éno</w:t>
      </w:r>
      <w:r w:rsidR="00972589" w:rsidRPr="00AF41CC">
        <w:rPr>
          <w:rFonts w:ascii="Times New Roman" w:hAnsi="Times New Roman" w:cs="Times New Roman"/>
          <w:sz w:val="24"/>
          <w:szCs w:val="24"/>
        </w:rPr>
        <w:t>nciateurs</w:t>
      </w:r>
      <w:r w:rsidR="00A63A96" w:rsidRPr="00AF41CC">
        <w:rPr>
          <w:rFonts w:ascii="Times New Roman" w:hAnsi="Times New Roman" w:cs="Times New Roman"/>
          <w:sz w:val="24"/>
          <w:szCs w:val="24"/>
        </w:rPr>
        <w:t xml:space="preserve"> des </w:t>
      </w:r>
      <w:r w:rsidR="006D6BF5" w:rsidRPr="00AF41CC">
        <w:rPr>
          <w:rFonts w:ascii="Times New Roman" w:hAnsi="Times New Roman" w:cs="Times New Roman"/>
          <w:sz w:val="24"/>
          <w:szCs w:val="24"/>
        </w:rPr>
        <w:t xml:space="preserve">souverainistes nationalistes, </w:t>
      </w:r>
      <w:r w:rsidR="00947181" w:rsidRPr="00AF41CC">
        <w:rPr>
          <w:rFonts w:ascii="Times New Roman" w:hAnsi="Times New Roman" w:cs="Times New Roman"/>
          <w:sz w:val="24"/>
          <w:szCs w:val="24"/>
        </w:rPr>
        <w:t>elle n’en est pas un</w:t>
      </w:r>
      <w:r w:rsidR="00937C17" w:rsidRPr="00AF41CC">
        <w:rPr>
          <w:rFonts w:ascii="Times New Roman" w:hAnsi="Times New Roman" w:cs="Times New Roman"/>
          <w:sz w:val="24"/>
          <w:szCs w:val="24"/>
        </w:rPr>
        <w:t xml:space="preserve"> ni ne fonctionne comme tel.</w:t>
      </w:r>
      <w:r w:rsidR="00947181" w:rsidRPr="00AF41CC">
        <w:rPr>
          <w:rFonts w:ascii="Times New Roman" w:hAnsi="Times New Roman" w:cs="Times New Roman"/>
          <w:sz w:val="24"/>
          <w:szCs w:val="24"/>
        </w:rPr>
        <w:t xml:space="preserve"> Mais</w:t>
      </w:r>
      <w:r w:rsidR="00E14538" w:rsidRPr="00AF41CC">
        <w:rPr>
          <w:rFonts w:ascii="Times New Roman" w:hAnsi="Times New Roman" w:cs="Times New Roman"/>
          <w:sz w:val="24"/>
          <w:szCs w:val="24"/>
        </w:rPr>
        <w:t>,</w:t>
      </w:r>
      <w:r w:rsidR="00947181" w:rsidRPr="00AF41CC">
        <w:rPr>
          <w:rFonts w:ascii="Times New Roman" w:hAnsi="Times New Roman" w:cs="Times New Roman"/>
          <w:sz w:val="24"/>
          <w:szCs w:val="24"/>
        </w:rPr>
        <w:t xml:space="preserve"> </w:t>
      </w:r>
      <w:r w:rsidR="006D6BF5" w:rsidRPr="00AF41CC">
        <w:rPr>
          <w:rFonts w:ascii="Times New Roman" w:hAnsi="Times New Roman" w:cs="Times New Roman"/>
          <w:sz w:val="24"/>
          <w:szCs w:val="24"/>
        </w:rPr>
        <w:t>en même temps, elle n’a pas</w:t>
      </w:r>
      <w:r w:rsidR="00947181" w:rsidRPr="00AF41CC">
        <w:rPr>
          <w:rFonts w:ascii="Times New Roman" w:hAnsi="Times New Roman" w:cs="Times New Roman"/>
          <w:sz w:val="24"/>
          <w:szCs w:val="24"/>
        </w:rPr>
        <w:t xml:space="preserve"> renoncé à assumer certaines fonctions </w:t>
      </w:r>
      <w:r w:rsidR="00CC1632" w:rsidRPr="00AF41CC">
        <w:rPr>
          <w:rFonts w:ascii="Times New Roman" w:hAnsi="Times New Roman" w:cs="Times New Roman"/>
          <w:sz w:val="24"/>
          <w:szCs w:val="24"/>
        </w:rPr>
        <w:t>autrefois dévolues à</w:t>
      </w:r>
      <w:r w:rsidR="00947181" w:rsidRPr="00AF41CC">
        <w:rPr>
          <w:rFonts w:ascii="Times New Roman" w:hAnsi="Times New Roman" w:cs="Times New Roman"/>
          <w:sz w:val="24"/>
          <w:szCs w:val="24"/>
        </w:rPr>
        <w:t xml:space="preserve"> la souv</w:t>
      </w:r>
      <w:r w:rsidR="00112345" w:rsidRPr="00AF41CC">
        <w:rPr>
          <w:rFonts w:ascii="Times New Roman" w:hAnsi="Times New Roman" w:cs="Times New Roman"/>
          <w:sz w:val="24"/>
          <w:szCs w:val="24"/>
        </w:rPr>
        <w:t>e</w:t>
      </w:r>
      <w:r w:rsidR="00947181" w:rsidRPr="00AF41CC">
        <w:rPr>
          <w:rFonts w:ascii="Times New Roman" w:hAnsi="Times New Roman" w:cs="Times New Roman"/>
          <w:sz w:val="24"/>
          <w:szCs w:val="24"/>
        </w:rPr>
        <w:t>raineté étatique</w:t>
      </w:r>
      <w:r w:rsidR="00112345" w:rsidRPr="00AF41CC">
        <w:rPr>
          <w:rFonts w:ascii="Times New Roman" w:hAnsi="Times New Roman" w:cs="Times New Roman"/>
          <w:sz w:val="24"/>
          <w:szCs w:val="24"/>
        </w:rPr>
        <w:t> </w:t>
      </w:r>
      <w:r w:rsidR="00827992" w:rsidRPr="00AF41CC">
        <w:rPr>
          <w:rFonts w:ascii="Times New Roman" w:hAnsi="Times New Roman" w:cs="Times New Roman"/>
          <w:sz w:val="24"/>
          <w:szCs w:val="24"/>
        </w:rPr>
        <w:t>à une échelle supranationale</w:t>
      </w:r>
      <w:r w:rsidR="00CC1632" w:rsidRPr="00AF41CC">
        <w:rPr>
          <w:rFonts w:ascii="Times New Roman" w:hAnsi="Times New Roman" w:cs="Times New Roman"/>
          <w:sz w:val="24"/>
          <w:szCs w:val="24"/>
        </w:rPr>
        <w:t xml:space="preserve">, comme celle qui consiste à confier à une banque centrale </w:t>
      </w:r>
      <w:r w:rsidR="00731B18" w:rsidRPr="00AF41CC">
        <w:rPr>
          <w:rFonts w:ascii="Times New Roman" w:hAnsi="Times New Roman" w:cs="Times New Roman"/>
          <w:sz w:val="24"/>
          <w:szCs w:val="24"/>
        </w:rPr>
        <w:t xml:space="preserve">le soin de décider de la quantité de monnaie à mettre en circulation </w:t>
      </w:r>
      <w:r w:rsidR="006F2A77" w:rsidRPr="00AF41CC">
        <w:rPr>
          <w:rFonts w:ascii="Times New Roman" w:hAnsi="Times New Roman" w:cs="Times New Roman"/>
          <w:sz w:val="24"/>
          <w:szCs w:val="24"/>
        </w:rPr>
        <w:t>à te</w:t>
      </w:r>
      <w:r w:rsidR="00BE4864" w:rsidRPr="00AF41CC">
        <w:rPr>
          <w:rFonts w:ascii="Times New Roman" w:hAnsi="Times New Roman" w:cs="Times New Roman"/>
          <w:sz w:val="24"/>
          <w:szCs w:val="24"/>
        </w:rPr>
        <w:t>l</w:t>
      </w:r>
      <w:r w:rsidR="006F2A77" w:rsidRPr="00AF41CC">
        <w:rPr>
          <w:rFonts w:ascii="Times New Roman" w:hAnsi="Times New Roman" w:cs="Times New Roman"/>
          <w:sz w:val="24"/>
          <w:szCs w:val="24"/>
        </w:rPr>
        <w:t xml:space="preserve"> ou tel moment </w:t>
      </w:r>
      <w:r w:rsidR="00CC1632" w:rsidRPr="00AF41CC">
        <w:rPr>
          <w:rFonts w:ascii="Times New Roman" w:hAnsi="Times New Roman" w:cs="Times New Roman"/>
          <w:sz w:val="24"/>
          <w:szCs w:val="24"/>
        </w:rPr>
        <w:t xml:space="preserve">ou encore celle qui consiste à </w:t>
      </w:r>
      <w:r w:rsidR="005C4132" w:rsidRPr="00AF41CC">
        <w:rPr>
          <w:rFonts w:ascii="Times New Roman" w:hAnsi="Times New Roman" w:cs="Times New Roman"/>
          <w:sz w:val="24"/>
          <w:szCs w:val="24"/>
        </w:rPr>
        <w:t xml:space="preserve">déléguer à une agence (Frontex) la tâche de </w:t>
      </w:r>
      <w:r w:rsidR="00CC1632" w:rsidRPr="00AF41CC">
        <w:rPr>
          <w:rFonts w:ascii="Times New Roman" w:hAnsi="Times New Roman" w:cs="Times New Roman"/>
          <w:sz w:val="24"/>
          <w:szCs w:val="24"/>
        </w:rPr>
        <w:t>surveiller et contrôler ses frontières extérieures</w:t>
      </w:r>
      <w:r w:rsidR="006D6BF5" w:rsidRPr="00AF41CC">
        <w:rPr>
          <w:rFonts w:ascii="Times New Roman" w:hAnsi="Times New Roman" w:cs="Times New Roman"/>
          <w:sz w:val="24"/>
          <w:szCs w:val="24"/>
        </w:rPr>
        <w:t xml:space="preserve">. </w:t>
      </w:r>
      <w:r w:rsidR="00972589" w:rsidRPr="00AF41CC">
        <w:rPr>
          <w:rFonts w:ascii="Times New Roman" w:hAnsi="Times New Roman" w:cs="Times New Roman"/>
          <w:sz w:val="24"/>
          <w:szCs w:val="24"/>
        </w:rPr>
        <w:t xml:space="preserve">S’agit-il d’un simple changement d’échelle qui </w:t>
      </w:r>
      <w:r w:rsidR="008B1DE4" w:rsidRPr="00AF41CC">
        <w:rPr>
          <w:rFonts w:ascii="Times New Roman" w:hAnsi="Times New Roman" w:cs="Times New Roman"/>
          <w:sz w:val="24"/>
          <w:szCs w:val="24"/>
        </w:rPr>
        <w:t>ne ferait que transposer</w:t>
      </w:r>
      <w:r w:rsidR="00972589" w:rsidRPr="00AF41CC">
        <w:rPr>
          <w:rFonts w:ascii="Times New Roman" w:hAnsi="Times New Roman" w:cs="Times New Roman"/>
          <w:sz w:val="24"/>
          <w:szCs w:val="24"/>
        </w:rPr>
        <w:t xml:space="preserve"> l</w:t>
      </w:r>
      <w:r w:rsidR="008B1DE4" w:rsidRPr="00AF41CC">
        <w:rPr>
          <w:rFonts w:ascii="Times New Roman" w:hAnsi="Times New Roman" w:cs="Times New Roman"/>
          <w:sz w:val="24"/>
          <w:szCs w:val="24"/>
        </w:rPr>
        <w:t>es prérogatives</w:t>
      </w:r>
      <w:r w:rsidR="00972589" w:rsidRPr="00AF41CC">
        <w:rPr>
          <w:rFonts w:ascii="Times New Roman" w:hAnsi="Times New Roman" w:cs="Times New Roman"/>
          <w:sz w:val="24"/>
          <w:szCs w:val="24"/>
        </w:rPr>
        <w:t xml:space="preserve"> de la souveraineté</w:t>
      </w:r>
      <w:r w:rsidR="008B1DE4" w:rsidRPr="00AF41CC">
        <w:rPr>
          <w:rFonts w:ascii="Times New Roman" w:hAnsi="Times New Roman" w:cs="Times New Roman"/>
          <w:sz w:val="24"/>
          <w:szCs w:val="24"/>
        </w:rPr>
        <w:t xml:space="preserve"> à un niveau supérieur</w:t>
      </w:r>
      <w:r w:rsidR="00972589" w:rsidRPr="00AF41CC">
        <w:rPr>
          <w:rFonts w:ascii="Times New Roman" w:hAnsi="Times New Roman" w:cs="Times New Roman"/>
          <w:sz w:val="24"/>
          <w:szCs w:val="24"/>
        </w:rPr>
        <w:t xml:space="preserve"> ? </w:t>
      </w:r>
    </w:p>
    <w:p w14:paraId="2C232F74" w14:textId="1BBAB346" w:rsidR="006C4C96" w:rsidRPr="00AF41CC" w:rsidRDefault="007570D8" w:rsidP="005D3353">
      <w:pPr>
        <w:spacing w:line="360" w:lineRule="auto"/>
        <w:jc w:val="both"/>
        <w:rPr>
          <w:rFonts w:ascii="Times New Roman" w:eastAsia="Times New Roman" w:hAnsi="Times New Roman" w:cs="Times New Roman"/>
          <w:color w:val="212121"/>
          <w:sz w:val="24"/>
          <w:szCs w:val="24"/>
          <w:shd w:val="clear" w:color="auto" w:fill="FFFFFF"/>
        </w:rPr>
      </w:pPr>
      <w:r w:rsidRPr="00AF41CC">
        <w:rPr>
          <w:rFonts w:ascii="Times New Roman" w:eastAsia="Times New Roman" w:hAnsi="Times New Roman" w:cs="Times New Roman"/>
          <w:color w:val="212121"/>
          <w:sz w:val="24"/>
          <w:szCs w:val="24"/>
          <w:shd w:val="clear" w:color="auto" w:fill="FFFFFF"/>
        </w:rPr>
        <w:t xml:space="preserve">Les déclarations d’intention ne doivent pas nous abuser. </w:t>
      </w:r>
      <w:r w:rsidR="00675EDB" w:rsidRPr="00AF41CC">
        <w:rPr>
          <w:rFonts w:ascii="Times New Roman" w:eastAsia="Times New Roman" w:hAnsi="Times New Roman" w:cs="Times New Roman"/>
          <w:color w:val="212121"/>
          <w:sz w:val="24"/>
          <w:szCs w:val="24"/>
          <w:shd w:val="clear" w:color="auto" w:fill="FFFFFF"/>
        </w:rPr>
        <w:t>Le</w:t>
      </w:r>
      <w:r w:rsidR="00675EDB" w:rsidRPr="00AF41CC">
        <w:rPr>
          <w:rFonts w:ascii="Times New Roman" w:eastAsia="Times New Roman" w:hAnsi="Times New Roman" w:cs="Times New Roman"/>
          <w:color w:val="383F4E"/>
          <w:sz w:val="24"/>
          <w:szCs w:val="24"/>
          <w:shd w:val="clear" w:color="auto" w:fill="FFFFFF"/>
        </w:rPr>
        <w:t xml:space="preserve"> « traité bilatéral de coopération renforcée »</w:t>
      </w:r>
      <w:r w:rsidR="005D3353" w:rsidRPr="00AF41CC">
        <w:rPr>
          <w:rFonts w:ascii="Times New Roman" w:eastAsia="Times New Roman" w:hAnsi="Times New Roman" w:cs="Times New Roman"/>
          <w:color w:val="383F4E"/>
          <w:sz w:val="24"/>
          <w:szCs w:val="24"/>
          <w:shd w:val="clear" w:color="auto" w:fill="FFFFFF"/>
        </w:rPr>
        <w:t xml:space="preserve"> entre l’Italie et la France</w:t>
      </w:r>
      <w:r w:rsidR="00675EDB" w:rsidRPr="00AF41CC">
        <w:rPr>
          <w:rFonts w:ascii="Times New Roman" w:eastAsia="Times New Roman" w:hAnsi="Times New Roman" w:cs="Times New Roman"/>
          <w:color w:val="383F4E"/>
          <w:sz w:val="24"/>
          <w:szCs w:val="24"/>
          <w:shd w:val="clear" w:color="auto" w:fill="FFFFFF"/>
        </w:rPr>
        <w:t xml:space="preserve">, dit </w:t>
      </w:r>
      <w:r w:rsidR="00675EDB" w:rsidRPr="00AF41CC">
        <w:rPr>
          <w:rFonts w:ascii="Times New Roman" w:eastAsia="Times New Roman" w:hAnsi="Times New Roman" w:cs="Times New Roman"/>
          <w:color w:val="212121"/>
          <w:sz w:val="24"/>
          <w:szCs w:val="24"/>
          <w:shd w:val="clear" w:color="auto" w:fill="FFFFFF"/>
        </w:rPr>
        <w:t>Traité du Quirinal</w:t>
      </w:r>
      <w:r w:rsidR="005D3353" w:rsidRPr="00AF41CC">
        <w:rPr>
          <w:rFonts w:ascii="Times New Roman" w:eastAsia="Times New Roman" w:hAnsi="Times New Roman" w:cs="Times New Roman"/>
          <w:color w:val="212121"/>
          <w:sz w:val="24"/>
          <w:szCs w:val="24"/>
          <w:shd w:val="clear" w:color="auto" w:fill="FFFFFF"/>
        </w:rPr>
        <w:t>, signé le</w:t>
      </w:r>
      <w:r w:rsidR="006C4C96" w:rsidRPr="00AF41CC">
        <w:rPr>
          <w:rFonts w:ascii="Times New Roman" w:eastAsia="Times New Roman" w:hAnsi="Times New Roman" w:cs="Times New Roman"/>
          <w:color w:val="212121"/>
          <w:sz w:val="24"/>
          <w:szCs w:val="24"/>
          <w:shd w:val="clear" w:color="auto" w:fill="FFFFFF"/>
        </w:rPr>
        <w:t xml:space="preserve"> 26 novembre 2021</w:t>
      </w:r>
      <w:r w:rsidRPr="00AF41CC">
        <w:rPr>
          <w:rFonts w:ascii="Times New Roman" w:eastAsia="Times New Roman" w:hAnsi="Times New Roman" w:cs="Times New Roman"/>
          <w:color w:val="212121"/>
          <w:sz w:val="24"/>
          <w:szCs w:val="24"/>
          <w:shd w:val="clear" w:color="auto" w:fill="FFFFFF"/>
        </w:rPr>
        <w:t>, qui</w:t>
      </w:r>
      <w:r w:rsidR="005D3353" w:rsidRPr="00AF41CC">
        <w:rPr>
          <w:rFonts w:ascii="Times New Roman" w:eastAsia="Times New Roman" w:hAnsi="Times New Roman" w:cs="Times New Roman"/>
          <w:color w:val="212121"/>
          <w:sz w:val="24"/>
          <w:szCs w:val="24"/>
          <w:shd w:val="clear" w:color="auto" w:fill="FFFFFF"/>
        </w:rPr>
        <w:t xml:space="preserve"> </w:t>
      </w:r>
      <w:r w:rsidR="00CF7558" w:rsidRPr="00AF41CC">
        <w:rPr>
          <w:rFonts w:ascii="Times New Roman" w:eastAsia="Times New Roman" w:hAnsi="Times New Roman" w:cs="Times New Roman"/>
          <w:color w:val="212121"/>
          <w:sz w:val="24"/>
          <w:szCs w:val="24"/>
          <w:shd w:val="clear" w:color="auto" w:fill="FFFFFF"/>
        </w:rPr>
        <w:t>vise à atteindre la</w:t>
      </w:r>
      <w:r w:rsidR="00675EDB" w:rsidRPr="00AF41CC">
        <w:rPr>
          <w:rFonts w:ascii="Times New Roman" w:eastAsia="Times New Roman" w:hAnsi="Times New Roman" w:cs="Times New Roman"/>
          <w:color w:val="212121"/>
          <w:sz w:val="24"/>
          <w:szCs w:val="24"/>
          <w:shd w:val="clear" w:color="auto" w:fill="FFFFFF"/>
        </w:rPr>
        <w:t xml:space="preserve"> « souveraineté européenne »</w:t>
      </w:r>
      <w:r w:rsidRPr="00AF41CC">
        <w:rPr>
          <w:rFonts w:ascii="Times New Roman" w:eastAsia="Times New Roman" w:hAnsi="Times New Roman" w:cs="Times New Roman"/>
          <w:color w:val="212121"/>
          <w:sz w:val="24"/>
          <w:szCs w:val="24"/>
          <w:shd w:val="clear" w:color="auto" w:fill="FFFFFF"/>
        </w:rPr>
        <w:t>,</w:t>
      </w:r>
      <w:r w:rsidR="005D3353" w:rsidRPr="00AF41CC">
        <w:rPr>
          <w:rFonts w:ascii="Times New Roman" w:eastAsia="Times New Roman" w:hAnsi="Times New Roman" w:cs="Times New Roman"/>
          <w:color w:val="212121"/>
          <w:sz w:val="24"/>
          <w:szCs w:val="24"/>
          <w:shd w:val="clear" w:color="auto" w:fill="FFFFFF"/>
        </w:rPr>
        <w:t xml:space="preserve"> permet d’y voir plus clair</w:t>
      </w:r>
      <w:r w:rsidR="00BA0DDD" w:rsidRPr="00AF41CC">
        <w:rPr>
          <w:rFonts w:ascii="Times New Roman" w:eastAsia="Times New Roman" w:hAnsi="Times New Roman" w:cs="Times New Roman"/>
          <w:color w:val="212121"/>
          <w:sz w:val="24"/>
          <w:szCs w:val="24"/>
          <w:shd w:val="clear" w:color="auto" w:fill="FFFFFF"/>
        </w:rPr>
        <w:t>. L</w:t>
      </w:r>
      <w:r w:rsidR="005D3353" w:rsidRPr="00AF41CC">
        <w:rPr>
          <w:rFonts w:ascii="Times New Roman" w:eastAsia="Times New Roman" w:hAnsi="Times New Roman" w:cs="Times New Roman"/>
          <w:color w:val="212121"/>
          <w:sz w:val="24"/>
          <w:szCs w:val="24"/>
          <w:shd w:val="clear" w:color="auto" w:fill="FFFFFF"/>
        </w:rPr>
        <w:t>’</w:t>
      </w:r>
      <w:r w:rsidR="00005C2C" w:rsidRPr="00AF41CC">
        <w:rPr>
          <w:rFonts w:ascii="Times New Roman" w:eastAsia="Times New Roman" w:hAnsi="Times New Roman" w:cs="Times New Roman"/>
          <w:color w:val="212121"/>
          <w:sz w:val="24"/>
          <w:szCs w:val="24"/>
          <w:shd w:val="clear" w:color="auto" w:fill="FFFFFF"/>
        </w:rPr>
        <w:t>objectif partagé entre les deux pays</w:t>
      </w:r>
      <w:r w:rsidR="009E0A3C" w:rsidRPr="00AF41CC">
        <w:rPr>
          <w:rFonts w:ascii="Times New Roman" w:eastAsia="Times New Roman" w:hAnsi="Times New Roman" w:cs="Times New Roman"/>
          <w:color w:val="212121"/>
          <w:sz w:val="24"/>
          <w:szCs w:val="24"/>
          <w:shd w:val="clear" w:color="auto" w:fill="FFFFFF"/>
        </w:rPr>
        <w:t xml:space="preserve">, y est-il écrit, </w:t>
      </w:r>
      <w:r w:rsidR="00005C2C" w:rsidRPr="00AF41CC">
        <w:rPr>
          <w:rFonts w:ascii="Times New Roman" w:eastAsia="Times New Roman" w:hAnsi="Times New Roman" w:cs="Times New Roman"/>
          <w:color w:val="212121"/>
          <w:sz w:val="24"/>
          <w:szCs w:val="24"/>
          <w:shd w:val="clear" w:color="auto" w:fill="FFFFFF"/>
        </w:rPr>
        <w:t>est une « </w:t>
      </w:r>
      <w:r w:rsidR="00005C2C" w:rsidRPr="00AF41CC">
        <w:rPr>
          <w:rFonts w:ascii="Times New Roman" w:hAnsi="Times New Roman" w:cs="Times New Roman"/>
          <w:sz w:val="24"/>
          <w:szCs w:val="24"/>
        </w:rPr>
        <w:t xml:space="preserve">Europe </w:t>
      </w:r>
      <w:r w:rsidR="00025859" w:rsidRPr="00AF41CC">
        <w:rPr>
          <w:rFonts w:ascii="Times New Roman" w:hAnsi="Times New Roman" w:cs="Times New Roman"/>
          <w:sz w:val="24"/>
          <w:szCs w:val="24"/>
        </w:rPr>
        <w:t>démocratique</w:t>
      </w:r>
      <w:r w:rsidR="00005C2C" w:rsidRPr="00AF41CC">
        <w:rPr>
          <w:rFonts w:ascii="Times New Roman" w:hAnsi="Times New Roman" w:cs="Times New Roman"/>
          <w:sz w:val="24"/>
          <w:szCs w:val="24"/>
        </w:rPr>
        <w:t>, unie et souveraine ». Pourtant, hormis les domaines et les modalités de cette coopération</w:t>
      </w:r>
      <w:r w:rsidR="006C4C96" w:rsidRPr="00AF41CC">
        <w:rPr>
          <w:rFonts w:ascii="Times New Roman" w:hAnsi="Times New Roman" w:cs="Times New Roman"/>
          <w:sz w:val="24"/>
          <w:szCs w:val="24"/>
        </w:rPr>
        <w:t xml:space="preserve"> renfor</w:t>
      </w:r>
      <w:r w:rsidR="009E0A3C" w:rsidRPr="00AF41CC">
        <w:rPr>
          <w:rFonts w:ascii="Times New Roman" w:hAnsi="Times New Roman" w:cs="Times New Roman"/>
          <w:sz w:val="24"/>
          <w:szCs w:val="24"/>
        </w:rPr>
        <w:t>c</w:t>
      </w:r>
      <w:r w:rsidR="006C4C96" w:rsidRPr="00AF41CC">
        <w:rPr>
          <w:rFonts w:ascii="Times New Roman" w:hAnsi="Times New Roman" w:cs="Times New Roman"/>
          <w:sz w:val="24"/>
          <w:szCs w:val="24"/>
        </w:rPr>
        <w:t>é</w:t>
      </w:r>
      <w:r w:rsidR="009E0A3C" w:rsidRPr="00AF41CC">
        <w:rPr>
          <w:rFonts w:ascii="Times New Roman" w:hAnsi="Times New Roman" w:cs="Times New Roman"/>
          <w:sz w:val="24"/>
          <w:szCs w:val="24"/>
        </w:rPr>
        <w:t>e</w:t>
      </w:r>
      <w:r w:rsidR="006C4C96" w:rsidRPr="00AF41CC">
        <w:rPr>
          <w:rFonts w:ascii="Times New Roman" w:hAnsi="Times New Roman" w:cs="Times New Roman"/>
          <w:sz w:val="24"/>
          <w:szCs w:val="24"/>
        </w:rPr>
        <w:t xml:space="preserve"> entre les deux pays</w:t>
      </w:r>
      <w:r w:rsidR="005D3353" w:rsidRPr="00AF41CC">
        <w:rPr>
          <w:rFonts w:ascii="Times New Roman" w:hAnsi="Times New Roman" w:cs="Times New Roman"/>
          <w:sz w:val="24"/>
          <w:szCs w:val="24"/>
        </w:rPr>
        <w:t>, on n’y</w:t>
      </w:r>
      <w:r w:rsidR="00005C2C" w:rsidRPr="00AF41CC">
        <w:rPr>
          <w:rFonts w:ascii="Times New Roman" w:hAnsi="Times New Roman" w:cs="Times New Roman"/>
          <w:sz w:val="24"/>
          <w:szCs w:val="24"/>
        </w:rPr>
        <w:t xml:space="preserve"> voit guère de proposition</w:t>
      </w:r>
      <w:r w:rsidR="006C4C96" w:rsidRPr="00AF41CC">
        <w:rPr>
          <w:rFonts w:ascii="Times New Roman" w:hAnsi="Times New Roman" w:cs="Times New Roman"/>
          <w:sz w:val="24"/>
          <w:szCs w:val="24"/>
        </w:rPr>
        <w:t>s concrètes</w:t>
      </w:r>
      <w:r w:rsidR="00005C2C" w:rsidRPr="00AF41CC">
        <w:rPr>
          <w:rFonts w:ascii="Times New Roman" w:hAnsi="Times New Roman" w:cs="Times New Roman"/>
          <w:sz w:val="24"/>
          <w:szCs w:val="24"/>
        </w:rPr>
        <w:t xml:space="preserve"> visant à donner une nouvelle forme institutionnelle à cette « Europe souveraine ». La presse a plutôt souligné </w:t>
      </w:r>
      <w:r w:rsidR="005D3353" w:rsidRPr="00AF41CC">
        <w:rPr>
          <w:rFonts w:ascii="Times New Roman" w:hAnsi="Times New Roman" w:cs="Times New Roman"/>
          <w:sz w:val="24"/>
          <w:szCs w:val="24"/>
        </w:rPr>
        <w:t>la portée conjo</w:t>
      </w:r>
      <w:r w:rsidR="00BA0DDD" w:rsidRPr="00AF41CC">
        <w:rPr>
          <w:rFonts w:ascii="Times New Roman" w:hAnsi="Times New Roman" w:cs="Times New Roman"/>
          <w:sz w:val="24"/>
          <w:szCs w:val="24"/>
        </w:rPr>
        <w:t>n</w:t>
      </w:r>
      <w:r w:rsidR="005D3353" w:rsidRPr="00AF41CC">
        <w:rPr>
          <w:rFonts w:ascii="Times New Roman" w:hAnsi="Times New Roman" w:cs="Times New Roman"/>
          <w:sz w:val="24"/>
          <w:szCs w:val="24"/>
        </w:rPr>
        <w:t>c</w:t>
      </w:r>
      <w:r w:rsidR="00BA0DDD" w:rsidRPr="00AF41CC">
        <w:rPr>
          <w:rFonts w:ascii="Times New Roman" w:hAnsi="Times New Roman" w:cs="Times New Roman"/>
          <w:sz w:val="24"/>
          <w:szCs w:val="24"/>
        </w:rPr>
        <w:t xml:space="preserve">turelle et tactique d’un </w:t>
      </w:r>
      <w:r w:rsidR="009E0A3C" w:rsidRPr="00AF41CC">
        <w:rPr>
          <w:rFonts w:ascii="Times New Roman" w:hAnsi="Times New Roman" w:cs="Times New Roman"/>
          <w:sz w:val="24"/>
          <w:szCs w:val="24"/>
        </w:rPr>
        <w:t xml:space="preserve">traité </w:t>
      </w:r>
      <w:r w:rsidR="00BA0DDD" w:rsidRPr="00AF41CC">
        <w:rPr>
          <w:rFonts w:ascii="Times New Roman" w:hAnsi="Times New Roman" w:cs="Times New Roman"/>
          <w:sz w:val="24"/>
          <w:szCs w:val="24"/>
        </w:rPr>
        <w:t xml:space="preserve">qui </w:t>
      </w:r>
      <w:r w:rsidR="009E0A3C" w:rsidRPr="00AF41CC">
        <w:rPr>
          <w:rFonts w:ascii="Times New Roman" w:hAnsi="Times New Roman" w:cs="Times New Roman"/>
          <w:sz w:val="24"/>
          <w:szCs w:val="24"/>
        </w:rPr>
        <w:t xml:space="preserve">cherchait </w:t>
      </w:r>
      <w:r w:rsidR="00675EDB" w:rsidRPr="00AF41CC">
        <w:rPr>
          <w:rFonts w:ascii="Times New Roman" w:eastAsia="Times New Roman" w:hAnsi="Times New Roman" w:cs="Times New Roman"/>
          <w:color w:val="212121"/>
          <w:sz w:val="24"/>
          <w:szCs w:val="24"/>
          <w:shd w:val="clear" w:color="auto" w:fill="FFFFFF"/>
        </w:rPr>
        <w:t>à rééquilibrer les rapports entre Etats européens sachant que l’axe P</w:t>
      </w:r>
      <w:r w:rsidR="00005C2C" w:rsidRPr="00AF41CC">
        <w:rPr>
          <w:rFonts w:ascii="Times New Roman" w:eastAsia="Times New Roman" w:hAnsi="Times New Roman" w:cs="Times New Roman"/>
          <w:color w:val="212121"/>
          <w:sz w:val="24"/>
          <w:szCs w:val="24"/>
          <w:shd w:val="clear" w:color="auto" w:fill="FFFFFF"/>
        </w:rPr>
        <w:t xml:space="preserve">aris-Berlin avait été officialisé </w:t>
      </w:r>
      <w:r w:rsidR="00BA0DDD" w:rsidRPr="00AF41CC">
        <w:rPr>
          <w:rFonts w:ascii="Times New Roman" w:eastAsia="Times New Roman" w:hAnsi="Times New Roman" w:cs="Times New Roman"/>
          <w:color w:val="212121"/>
          <w:sz w:val="24"/>
          <w:szCs w:val="24"/>
          <w:shd w:val="clear" w:color="auto" w:fill="FFFFFF"/>
        </w:rPr>
        <w:t>par un même type d’accord, le</w:t>
      </w:r>
      <w:r w:rsidR="00675EDB" w:rsidRPr="00AF41CC">
        <w:rPr>
          <w:rFonts w:ascii="Times New Roman" w:eastAsia="Times New Roman" w:hAnsi="Times New Roman" w:cs="Times New Roman"/>
          <w:color w:val="212121"/>
          <w:sz w:val="24"/>
          <w:szCs w:val="24"/>
          <w:shd w:val="clear" w:color="auto" w:fill="FFFFFF"/>
        </w:rPr>
        <w:t xml:space="preserve"> traité de l’Élysée en 1963</w:t>
      </w:r>
      <w:r w:rsidR="009E0A3C" w:rsidRPr="00AF41CC">
        <w:rPr>
          <w:rFonts w:ascii="Times New Roman" w:eastAsia="Times New Roman" w:hAnsi="Times New Roman" w:cs="Times New Roman"/>
          <w:color w:val="212121"/>
          <w:sz w:val="24"/>
          <w:szCs w:val="24"/>
          <w:shd w:val="clear" w:color="auto" w:fill="FFFFFF"/>
        </w:rPr>
        <w:t xml:space="preserve">. En réalité, la « transition historique » dont on parle aujourd’hui en Europe, et que le traité franco-italien entend accélérer, ne vise pas tant une refondation </w:t>
      </w:r>
      <w:r w:rsidR="006C4C96" w:rsidRPr="00AF41CC">
        <w:rPr>
          <w:rFonts w:ascii="Times New Roman" w:eastAsia="Times New Roman" w:hAnsi="Times New Roman" w:cs="Times New Roman"/>
          <w:color w:val="212121"/>
          <w:sz w:val="24"/>
          <w:szCs w:val="24"/>
          <w:shd w:val="clear" w:color="auto" w:fill="FFFFFF"/>
        </w:rPr>
        <w:t xml:space="preserve">institutionnelle </w:t>
      </w:r>
      <w:r w:rsidR="009E0A3C" w:rsidRPr="00AF41CC">
        <w:rPr>
          <w:rFonts w:ascii="Times New Roman" w:eastAsia="Times New Roman" w:hAnsi="Times New Roman" w:cs="Times New Roman"/>
          <w:color w:val="212121"/>
          <w:sz w:val="24"/>
          <w:szCs w:val="24"/>
          <w:shd w:val="clear" w:color="auto" w:fill="FFFFFF"/>
        </w:rPr>
        <w:t>qu’un changement des règles budgétaires et monétaires qui avaient jusque-là déterminé les politiques d’austérité dans les différents pays. Manifestement, le bridage des dépenses publiques scellé dans le marbre de Maastricht n’est plus à l’ordre du jour du fait</w:t>
      </w:r>
      <w:r w:rsidR="009A5C15" w:rsidRPr="00AF41CC">
        <w:rPr>
          <w:rFonts w:ascii="Times New Roman" w:eastAsia="Times New Roman" w:hAnsi="Times New Roman" w:cs="Times New Roman"/>
          <w:color w:val="212121"/>
          <w:sz w:val="24"/>
          <w:szCs w:val="24"/>
          <w:shd w:val="clear" w:color="auto" w:fill="FFFFFF"/>
        </w:rPr>
        <w:t xml:space="preserve">, en premier lieu, </w:t>
      </w:r>
      <w:r w:rsidR="009E0A3C" w:rsidRPr="00AF41CC">
        <w:rPr>
          <w:rFonts w:ascii="Times New Roman" w:eastAsia="Times New Roman" w:hAnsi="Times New Roman" w:cs="Times New Roman"/>
          <w:color w:val="212121"/>
          <w:sz w:val="24"/>
          <w:szCs w:val="24"/>
          <w:shd w:val="clear" w:color="auto" w:fill="FFFFFF"/>
        </w:rPr>
        <w:t xml:space="preserve">de la « gestion de la crise sanitaire ». Les Etats de l'UE ont </w:t>
      </w:r>
      <w:r w:rsidR="006C4C96" w:rsidRPr="00AF41CC">
        <w:rPr>
          <w:rFonts w:ascii="Times New Roman" w:eastAsia="Times New Roman" w:hAnsi="Times New Roman" w:cs="Times New Roman"/>
          <w:color w:val="212121"/>
          <w:sz w:val="24"/>
          <w:szCs w:val="24"/>
          <w:shd w:val="clear" w:color="auto" w:fill="FFFFFF"/>
        </w:rPr>
        <w:t>dépensé des milliers de</w:t>
      </w:r>
      <w:r w:rsidR="009E0A3C" w:rsidRPr="00AF41CC">
        <w:rPr>
          <w:rFonts w:ascii="Times New Roman" w:eastAsia="Times New Roman" w:hAnsi="Times New Roman" w:cs="Times New Roman"/>
          <w:color w:val="212121"/>
          <w:sz w:val="24"/>
          <w:szCs w:val="24"/>
          <w:shd w:val="clear" w:color="auto" w:fill="FFFFFF"/>
        </w:rPr>
        <w:t> milliards d'euros pour aider les ménages et les entr</w:t>
      </w:r>
      <w:r w:rsidR="006C4C96" w:rsidRPr="00AF41CC">
        <w:rPr>
          <w:rFonts w:ascii="Times New Roman" w:eastAsia="Times New Roman" w:hAnsi="Times New Roman" w:cs="Times New Roman"/>
          <w:color w:val="212121"/>
          <w:sz w:val="24"/>
          <w:szCs w:val="24"/>
          <w:shd w:val="clear" w:color="auto" w:fill="FFFFFF"/>
        </w:rPr>
        <w:t>eprises à affronter la crise, quand la</w:t>
      </w:r>
      <w:r w:rsidR="009E0A3C" w:rsidRPr="00AF41CC">
        <w:rPr>
          <w:rFonts w:ascii="Times New Roman" w:eastAsia="Times New Roman" w:hAnsi="Times New Roman" w:cs="Times New Roman"/>
          <w:color w:val="212121"/>
          <w:sz w:val="24"/>
          <w:szCs w:val="24"/>
          <w:shd w:val="clear" w:color="auto" w:fill="FFFFFF"/>
        </w:rPr>
        <w:t xml:space="preserve"> Banque centrale européenne</w:t>
      </w:r>
      <w:r w:rsidR="006C4C96" w:rsidRPr="00AF41CC">
        <w:rPr>
          <w:rFonts w:ascii="Times New Roman" w:eastAsia="Times New Roman" w:hAnsi="Times New Roman" w:cs="Times New Roman"/>
          <w:color w:val="212121"/>
          <w:sz w:val="24"/>
          <w:szCs w:val="24"/>
          <w:shd w:val="clear" w:color="auto" w:fill="FFFFFF"/>
        </w:rPr>
        <w:t>, au même moment</w:t>
      </w:r>
      <w:r w:rsidR="00274364" w:rsidRPr="00AF41CC">
        <w:rPr>
          <w:rFonts w:ascii="Times New Roman" w:eastAsia="Times New Roman" w:hAnsi="Times New Roman" w:cs="Times New Roman"/>
          <w:color w:val="212121"/>
          <w:sz w:val="24"/>
          <w:szCs w:val="24"/>
          <w:shd w:val="clear" w:color="auto" w:fill="FFFFFF"/>
        </w:rPr>
        <w:t>,</w:t>
      </w:r>
      <w:r w:rsidR="006C4C96" w:rsidRPr="00AF41CC">
        <w:rPr>
          <w:rFonts w:ascii="Times New Roman" w:eastAsia="Times New Roman" w:hAnsi="Times New Roman" w:cs="Times New Roman"/>
          <w:color w:val="212121"/>
          <w:sz w:val="24"/>
          <w:szCs w:val="24"/>
          <w:shd w:val="clear" w:color="auto" w:fill="FFFFFF"/>
        </w:rPr>
        <w:t xml:space="preserve"> injectait des sommes encore plus considérables </w:t>
      </w:r>
      <w:r w:rsidR="009E0A3C" w:rsidRPr="00AF41CC">
        <w:rPr>
          <w:rFonts w:ascii="Times New Roman" w:eastAsia="Times New Roman" w:hAnsi="Times New Roman" w:cs="Times New Roman"/>
          <w:color w:val="212121"/>
          <w:sz w:val="24"/>
          <w:szCs w:val="24"/>
          <w:shd w:val="clear" w:color="auto" w:fill="FFFFFF"/>
        </w:rPr>
        <w:t>pour soutenir le financement de l'économie.</w:t>
      </w:r>
      <w:r w:rsidR="006C4C96" w:rsidRPr="00AF41CC">
        <w:rPr>
          <w:rFonts w:ascii="Times New Roman" w:eastAsia="Times New Roman" w:hAnsi="Times New Roman" w:cs="Times New Roman"/>
          <w:color w:val="212121"/>
          <w:sz w:val="24"/>
          <w:szCs w:val="24"/>
          <w:shd w:val="clear" w:color="auto" w:fill="FFFFFF"/>
        </w:rPr>
        <w:t xml:space="preserve"> </w:t>
      </w:r>
    </w:p>
    <w:p w14:paraId="39D27977" w14:textId="396589E1" w:rsidR="0023268D" w:rsidRPr="00AF41CC" w:rsidRDefault="00883B92" w:rsidP="0023268D">
      <w:pPr>
        <w:spacing w:line="360" w:lineRule="auto"/>
        <w:jc w:val="both"/>
        <w:rPr>
          <w:rFonts w:ascii="Times New Roman" w:hAnsi="Times New Roman" w:cs="Times New Roman"/>
          <w:sz w:val="24"/>
          <w:szCs w:val="24"/>
        </w:rPr>
      </w:pPr>
      <w:r w:rsidRPr="00AF41CC">
        <w:rPr>
          <w:rFonts w:ascii="Times New Roman" w:eastAsia="Times New Roman" w:hAnsi="Times New Roman" w:cs="Times New Roman"/>
          <w:color w:val="212121"/>
          <w:sz w:val="24"/>
          <w:szCs w:val="24"/>
          <w:shd w:val="clear" w:color="auto" w:fill="FFFFFF"/>
        </w:rPr>
        <w:t>L’</w:t>
      </w:r>
      <w:r w:rsidR="00B43682" w:rsidRPr="00AF41CC">
        <w:rPr>
          <w:rFonts w:ascii="Times New Roman" w:eastAsia="Times New Roman" w:hAnsi="Times New Roman" w:cs="Times New Roman"/>
          <w:color w:val="212121"/>
          <w:sz w:val="24"/>
          <w:szCs w:val="24"/>
          <w:shd w:val="clear" w:color="auto" w:fill="FFFFFF"/>
        </w:rPr>
        <w:t>un des grands changements est le premier pas accompli vers la mutualisation des dettes</w:t>
      </w:r>
      <w:r w:rsidR="005F7A44" w:rsidRPr="00AF41CC">
        <w:rPr>
          <w:rFonts w:ascii="Times New Roman" w:eastAsia="Times New Roman" w:hAnsi="Times New Roman" w:cs="Times New Roman"/>
          <w:color w:val="212121"/>
          <w:sz w:val="24"/>
          <w:szCs w:val="24"/>
          <w:shd w:val="clear" w:color="auto" w:fill="FFFFFF"/>
        </w:rPr>
        <w:t>, ce que les dirigeants allemands et d’autres pays du nord de l’Europe avaient refusé de façon brutale,</w:t>
      </w:r>
      <w:r w:rsidRPr="00AF41CC">
        <w:rPr>
          <w:rFonts w:ascii="Times New Roman" w:eastAsia="Times New Roman" w:hAnsi="Times New Roman" w:cs="Times New Roman"/>
          <w:color w:val="212121"/>
          <w:sz w:val="24"/>
          <w:szCs w:val="24"/>
          <w:shd w:val="clear" w:color="auto" w:fill="FFFFFF"/>
        </w:rPr>
        <w:t xml:space="preserve"> au moment de la crise grecque,</w:t>
      </w:r>
      <w:r w:rsidR="008C6A1D" w:rsidRPr="00AF41CC">
        <w:rPr>
          <w:rFonts w:ascii="Times New Roman" w:eastAsia="Times New Roman" w:hAnsi="Times New Roman" w:cs="Times New Roman"/>
          <w:color w:val="212121"/>
          <w:sz w:val="24"/>
          <w:szCs w:val="24"/>
          <w:shd w:val="clear" w:color="auto" w:fill="FFFFFF"/>
        </w:rPr>
        <w:t xml:space="preserve"> </w:t>
      </w:r>
      <w:r w:rsidR="00F60ED9" w:rsidRPr="00AF41CC">
        <w:rPr>
          <w:rFonts w:ascii="Times New Roman" w:eastAsia="Times New Roman" w:hAnsi="Times New Roman" w:cs="Times New Roman"/>
          <w:color w:val="212121"/>
          <w:sz w:val="24"/>
          <w:szCs w:val="24"/>
          <w:shd w:val="clear" w:color="auto" w:fill="FFFFFF"/>
        </w:rPr>
        <w:t xml:space="preserve">et </w:t>
      </w:r>
      <w:r w:rsidR="006654F0" w:rsidRPr="00AF41CC">
        <w:rPr>
          <w:rFonts w:ascii="Times New Roman" w:eastAsia="Times New Roman" w:hAnsi="Times New Roman" w:cs="Times New Roman"/>
          <w:color w:val="212121"/>
          <w:sz w:val="24"/>
          <w:szCs w:val="24"/>
          <w:shd w:val="clear" w:color="auto" w:fill="FFFFFF"/>
        </w:rPr>
        <w:t>de nouveau</w:t>
      </w:r>
      <w:r w:rsidR="00CF7558" w:rsidRPr="00AF41CC">
        <w:rPr>
          <w:rFonts w:ascii="Times New Roman" w:eastAsia="Times New Roman" w:hAnsi="Times New Roman" w:cs="Times New Roman"/>
          <w:color w:val="212121"/>
          <w:sz w:val="24"/>
          <w:szCs w:val="24"/>
          <w:shd w:val="clear" w:color="auto" w:fill="FFFFFF"/>
        </w:rPr>
        <w:t>,</w:t>
      </w:r>
      <w:r w:rsidR="006654F0" w:rsidRPr="00AF41CC">
        <w:rPr>
          <w:rFonts w:ascii="Times New Roman" w:eastAsia="Times New Roman" w:hAnsi="Times New Roman" w:cs="Times New Roman"/>
          <w:color w:val="212121"/>
          <w:sz w:val="24"/>
          <w:szCs w:val="24"/>
          <w:shd w:val="clear" w:color="auto" w:fill="FFFFFF"/>
        </w:rPr>
        <w:t xml:space="preserve"> lors de l</w:t>
      </w:r>
      <w:r w:rsidR="008C6A1D" w:rsidRPr="00AF41CC">
        <w:rPr>
          <w:rFonts w:ascii="Times New Roman" w:eastAsia="Times New Roman" w:hAnsi="Times New Roman" w:cs="Times New Roman"/>
          <w:color w:val="212121"/>
          <w:sz w:val="24"/>
          <w:szCs w:val="24"/>
          <w:shd w:val="clear" w:color="auto" w:fill="FFFFFF"/>
        </w:rPr>
        <w:t xml:space="preserve">a </w:t>
      </w:r>
      <w:r w:rsidR="005F7A44" w:rsidRPr="00AF41CC">
        <w:rPr>
          <w:rFonts w:ascii="Times New Roman" w:hAnsi="Times New Roman" w:cs="Times New Roman"/>
          <w:sz w:val="24"/>
          <w:szCs w:val="24"/>
        </w:rPr>
        <w:t xml:space="preserve">crise des « coronabonds » </w:t>
      </w:r>
      <w:r w:rsidR="008C6A1D" w:rsidRPr="00AF41CC">
        <w:rPr>
          <w:rFonts w:ascii="Times New Roman" w:hAnsi="Times New Roman" w:cs="Times New Roman"/>
          <w:sz w:val="24"/>
          <w:szCs w:val="24"/>
        </w:rPr>
        <w:t>en 2020</w:t>
      </w:r>
      <w:r w:rsidR="005F7A44" w:rsidRPr="00AF41CC">
        <w:rPr>
          <w:rFonts w:ascii="Times New Roman" w:hAnsi="Times New Roman" w:cs="Times New Roman"/>
          <w:sz w:val="24"/>
          <w:szCs w:val="24"/>
        </w:rPr>
        <w:t xml:space="preserve"> </w:t>
      </w:r>
      <w:r w:rsidR="006654F0" w:rsidRPr="00AF41CC">
        <w:rPr>
          <w:rFonts w:ascii="Times New Roman" w:hAnsi="Times New Roman" w:cs="Times New Roman"/>
          <w:sz w:val="24"/>
          <w:szCs w:val="24"/>
        </w:rPr>
        <w:t xml:space="preserve">en s’opposant </w:t>
      </w:r>
      <w:r w:rsidR="005F7A44" w:rsidRPr="00AF41CC">
        <w:rPr>
          <w:rFonts w:ascii="Times New Roman" w:hAnsi="Times New Roman" w:cs="Times New Roman"/>
          <w:sz w:val="24"/>
          <w:szCs w:val="24"/>
        </w:rPr>
        <w:t>aux pays de l’Europe du Sud (Italie, Espagne)</w:t>
      </w:r>
      <w:r w:rsidR="006654F0" w:rsidRPr="00AF41CC">
        <w:rPr>
          <w:rFonts w:ascii="Times New Roman" w:hAnsi="Times New Roman" w:cs="Times New Roman"/>
          <w:sz w:val="24"/>
          <w:szCs w:val="24"/>
        </w:rPr>
        <w:t>.</w:t>
      </w:r>
      <w:r w:rsidR="008C6A1D" w:rsidRPr="00AF41CC">
        <w:rPr>
          <w:rFonts w:ascii="Times New Roman" w:hAnsi="Times New Roman" w:cs="Times New Roman"/>
          <w:sz w:val="24"/>
          <w:szCs w:val="24"/>
        </w:rPr>
        <w:t xml:space="preserve"> </w:t>
      </w:r>
      <w:r w:rsidR="005F7A44" w:rsidRPr="00AF41CC">
        <w:rPr>
          <w:rFonts w:ascii="Times New Roman" w:hAnsi="Times New Roman" w:cs="Times New Roman"/>
          <w:sz w:val="24"/>
          <w:szCs w:val="24"/>
        </w:rPr>
        <w:t>C</w:t>
      </w:r>
      <w:r w:rsidR="0023268D" w:rsidRPr="00AF41CC">
        <w:rPr>
          <w:rFonts w:ascii="Times New Roman" w:hAnsi="Times New Roman" w:cs="Times New Roman"/>
          <w:sz w:val="24"/>
          <w:szCs w:val="24"/>
        </w:rPr>
        <w:t xml:space="preserve">ertains partisans de l’UE ont imprudemment proposé un parallèle </w:t>
      </w:r>
      <w:r w:rsidR="00F60ED9" w:rsidRPr="00AF41CC">
        <w:rPr>
          <w:rFonts w:ascii="Times New Roman" w:hAnsi="Times New Roman" w:cs="Times New Roman"/>
          <w:sz w:val="24"/>
          <w:szCs w:val="24"/>
        </w:rPr>
        <w:t xml:space="preserve">entre ce début de mutualisation </w:t>
      </w:r>
      <w:r w:rsidR="0023268D" w:rsidRPr="00AF41CC">
        <w:rPr>
          <w:rFonts w:ascii="Times New Roman" w:hAnsi="Times New Roman" w:cs="Times New Roman"/>
          <w:sz w:val="24"/>
          <w:szCs w:val="24"/>
        </w:rPr>
        <w:t xml:space="preserve">avec l’acte audacieux </w:t>
      </w:r>
      <w:r w:rsidR="0023268D" w:rsidRPr="00AF41CC">
        <w:rPr>
          <w:rFonts w:ascii="Times New Roman" w:hAnsi="Times New Roman" w:cs="Times New Roman"/>
          <w:sz w:val="24"/>
          <w:szCs w:val="24"/>
        </w:rPr>
        <w:lastRenderedPageBreak/>
        <w:t>accompli en 1790 par Alexander Hamilton, le premier secrétaire au Trésor de l’histoir</w:t>
      </w:r>
      <w:r w:rsidRPr="00AF41CC">
        <w:rPr>
          <w:rFonts w:ascii="Times New Roman" w:hAnsi="Times New Roman" w:cs="Times New Roman"/>
          <w:sz w:val="24"/>
          <w:szCs w:val="24"/>
        </w:rPr>
        <w:t>e d</w:t>
      </w:r>
      <w:r w:rsidR="0023268D" w:rsidRPr="00AF41CC">
        <w:rPr>
          <w:rFonts w:ascii="Times New Roman" w:hAnsi="Times New Roman" w:cs="Times New Roman"/>
          <w:sz w:val="24"/>
          <w:szCs w:val="24"/>
        </w:rPr>
        <w:t>es Etats-Unis : transformer la dette publique des treize Etats fondateurs en une dette fédérale de manière à raffermir leur souveraineté</w:t>
      </w:r>
      <w:r w:rsidR="0023268D" w:rsidRPr="00AF41CC">
        <w:rPr>
          <w:rStyle w:val="Appelnotedebasdep"/>
          <w:rFonts w:ascii="Times New Roman" w:hAnsi="Times New Roman" w:cs="Times New Roman"/>
          <w:sz w:val="24"/>
          <w:szCs w:val="24"/>
        </w:rPr>
        <w:footnoteReference w:id="13"/>
      </w:r>
      <w:r w:rsidR="0023268D" w:rsidRPr="00AF41CC">
        <w:rPr>
          <w:rFonts w:ascii="Times New Roman" w:hAnsi="Times New Roman" w:cs="Times New Roman"/>
          <w:sz w:val="24"/>
          <w:szCs w:val="24"/>
        </w:rPr>
        <w:t xml:space="preserve">. Aucun parallèle n’est en réalité possible : le montage bricolé à la hâte par la Commission européenne n’aboutira au mieux qu’à une mutualisation d’une infime partie de la dette des Européens, au plus loin d’une mise en commun de l’ensemble des dettes des Etats. Quant à envisager un transfert d’une partie des dépenses publiques de l’échelon national vers l’échelon européen, cela exigerait des Etats qu’ils remettent en cause davantage encore leur souveraineté, au-delà des délégations consenties jusqu’à présent. </w:t>
      </w:r>
    </w:p>
    <w:p w14:paraId="771E071B" w14:textId="4F6C3F20" w:rsidR="00025859" w:rsidRPr="00AF41CC" w:rsidRDefault="00B5522F" w:rsidP="005D3353">
      <w:pPr>
        <w:spacing w:line="360" w:lineRule="auto"/>
        <w:jc w:val="both"/>
        <w:rPr>
          <w:rFonts w:ascii="Times New Roman" w:eastAsia="Times New Roman" w:hAnsi="Times New Roman" w:cs="Times New Roman"/>
          <w:color w:val="333333"/>
          <w:sz w:val="24"/>
          <w:szCs w:val="24"/>
          <w:shd w:val="clear" w:color="auto" w:fill="FFFFFF"/>
        </w:rPr>
      </w:pPr>
      <w:r w:rsidRPr="00AF41CC">
        <w:rPr>
          <w:rFonts w:ascii="Times New Roman" w:eastAsia="Times New Roman" w:hAnsi="Times New Roman" w:cs="Times New Roman"/>
          <w:color w:val="333333"/>
          <w:sz w:val="24"/>
          <w:szCs w:val="24"/>
          <w:shd w:val="clear" w:color="auto" w:fill="FFFFFF"/>
        </w:rPr>
        <w:t>L</w:t>
      </w:r>
      <w:r w:rsidR="00B074B7" w:rsidRPr="00AF41CC">
        <w:rPr>
          <w:rFonts w:ascii="Times New Roman" w:eastAsia="Times New Roman" w:hAnsi="Times New Roman" w:cs="Times New Roman"/>
          <w:color w:val="333333"/>
          <w:sz w:val="24"/>
          <w:szCs w:val="24"/>
          <w:shd w:val="clear" w:color="auto" w:fill="FFFFFF"/>
        </w:rPr>
        <w:t xml:space="preserve">oin de préluder à un tel transfert, le </w:t>
      </w:r>
      <w:r w:rsidR="00F60ED9" w:rsidRPr="00AF41CC">
        <w:rPr>
          <w:rFonts w:ascii="Times New Roman" w:eastAsia="Times New Roman" w:hAnsi="Times New Roman" w:cs="Times New Roman"/>
          <w:color w:val="333333"/>
          <w:sz w:val="24"/>
          <w:szCs w:val="24"/>
          <w:shd w:val="clear" w:color="auto" w:fill="FFFFFF"/>
        </w:rPr>
        <w:t>plan de relance de l'Union européenne (NextGenerationEU), à hauteur de 750 milliards pour les investissements d’avenir et les réformes,</w:t>
      </w:r>
      <w:r w:rsidRPr="00AF41CC">
        <w:rPr>
          <w:rFonts w:ascii="Times New Roman" w:eastAsia="Times New Roman" w:hAnsi="Times New Roman" w:cs="Times New Roman"/>
          <w:color w:val="333333"/>
          <w:sz w:val="24"/>
          <w:szCs w:val="24"/>
          <w:shd w:val="clear" w:color="auto" w:fill="FFFFFF"/>
        </w:rPr>
        <w:t xml:space="preserve"> </w:t>
      </w:r>
      <w:r w:rsidR="00B074B7" w:rsidRPr="00AF41CC">
        <w:rPr>
          <w:rFonts w:ascii="Times New Roman" w:eastAsia="Times New Roman" w:hAnsi="Times New Roman" w:cs="Times New Roman"/>
          <w:color w:val="333333"/>
          <w:sz w:val="24"/>
          <w:szCs w:val="24"/>
          <w:shd w:val="clear" w:color="auto" w:fill="FFFFFF"/>
        </w:rPr>
        <w:t>charge</w:t>
      </w:r>
      <w:r w:rsidRPr="00AF41CC">
        <w:rPr>
          <w:rFonts w:ascii="Times New Roman" w:eastAsia="Times New Roman" w:hAnsi="Times New Roman" w:cs="Times New Roman"/>
          <w:color w:val="333333"/>
          <w:sz w:val="24"/>
          <w:szCs w:val="24"/>
          <w:shd w:val="clear" w:color="auto" w:fill="FFFFFF"/>
        </w:rPr>
        <w:t xml:space="preserve"> </w:t>
      </w:r>
      <w:r w:rsidR="00F60ED9" w:rsidRPr="00AF41CC">
        <w:rPr>
          <w:rFonts w:ascii="Times New Roman" w:eastAsia="Times New Roman" w:hAnsi="Times New Roman" w:cs="Times New Roman"/>
          <w:i/>
          <w:iCs/>
          <w:color w:val="333333"/>
          <w:sz w:val="24"/>
          <w:szCs w:val="24"/>
          <w:shd w:val="clear" w:color="auto" w:fill="FFFFFF"/>
        </w:rPr>
        <w:t>chaque</w:t>
      </w:r>
      <w:r w:rsidR="00F60ED9" w:rsidRPr="00AF41CC">
        <w:rPr>
          <w:rFonts w:ascii="Times New Roman" w:eastAsia="Times New Roman" w:hAnsi="Times New Roman" w:cs="Times New Roman"/>
          <w:color w:val="333333"/>
          <w:sz w:val="24"/>
          <w:szCs w:val="24"/>
          <w:shd w:val="clear" w:color="auto" w:fill="FFFFFF"/>
        </w:rPr>
        <w:t xml:space="preserve"> pays d’établir un « plan national de relance et de résilience »</w:t>
      </w:r>
      <w:r w:rsidR="00F60ED9" w:rsidRPr="00AF41CC">
        <w:rPr>
          <w:rFonts w:ascii="Times New Roman" w:hAnsi="Times New Roman" w:cs="Times New Roman"/>
          <w:sz w:val="24"/>
          <w:szCs w:val="24"/>
        </w:rPr>
        <w:t xml:space="preserve"> (</w:t>
      </w:r>
      <w:r w:rsidR="00F60ED9" w:rsidRPr="00AF41CC">
        <w:rPr>
          <w:rFonts w:ascii="Times New Roman" w:eastAsia="Times New Roman" w:hAnsi="Times New Roman" w:cs="Times New Roman"/>
          <w:i/>
          <w:iCs/>
          <w:color w:val="333333"/>
          <w:sz w:val="24"/>
          <w:szCs w:val="24"/>
          <w:bdr w:val="none" w:sz="0" w:space="0" w:color="auto" w:frame="1"/>
        </w:rPr>
        <w:t>Piano nazionale di ripresa e resilienza</w:t>
      </w:r>
      <w:r w:rsidR="00F60ED9" w:rsidRPr="00AF41CC">
        <w:rPr>
          <w:rFonts w:ascii="Times New Roman" w:eastAsia="Times New Roman" w:hAnsi="Times New Roman" w:cs="Times New Roman"/>
          <w:color w:val="333333"/>
          <w:sz w:val="24"/>
          <w:szCs w:val="24"/>
          <w:shd w:val="clear" w:color="auto" w:fill="FFFFFF"/>
        </w:rPr>
        <w:t xml:space="preserve"> ) dont l'Italie est la première bénéficiaire avec 191,5 milliards d'euros de prêts et de subventions sur six ans. </w:t>
      </w:r>
      <w:r w:rsidR="009A5C15" w:rsidRPr="00AF41CC">
        <w:rPr>
          <w:rFonts w:ascii="Times New Roman" w:hAnsi="Times New Roman" w:cs="Times New Roman"/>
          <w:sz w:val="24"/>
          <w:szCs w:val="24"/>
        </w:rPr>
        <w:t>La tribune commune de Draghi et Macron sur la stratégie macroéconomique et bu</w:t>
      </w:r>
      <w:r w:rsidR="005D3353" w:rsidRPr="00AF41CC">
        <w:rPr>
          <w:rFonts w:ascii="Times New Roman" w:hAnsi="Times New Roman" w:cs="Times New Roman"/>
          <w:sz w:val="24"/>
          <w:szCs w:val="24"/>
        </w:rPr>
        <w:t xml:space="preserve">dgétaire de l’Union européenne du 23 décembre 2021, parue </w:t>
      </w:r>
      <w:r w:rsidR="009A5C15" w:rsidRPr="00AF41CC">
        <w:rPr>
          <w:rFonts w:ascii="Times New Roman" w:hAnsi="Times New Roman" w:cs="Times New Roman"/>
          <w:sz w:val="24"/>
          <w:szCs w:val="24"/>
        </w:rPr>
        <w:t xml:space="preserve">dans le </w:t>
      </w:r>
      <w:r w:rsidR="009A5C15" w:rsidRPr="00AF41CC">
        <w:rPr>
          <w:rFonts w:ascii="Times New Roman" w:hAnsi="Times New Roman" w:cs="Times New Roman"/>
          <w:i/>
          <w:iCs/>
          <w:sz w:val="24"/>
          <w:szCs w:val="24"/>
        </w:rPr>
        <w:t>Financial Times</w:t>
      </w:r>
      <w:r w:rsidR="005D3353" w:rsidRPr="00AF41CC">
        <w:rPr>
          <w:rFonts w:ascii="Times New Roman" w:hAnsi="Times New Roman" w:cs="Times New Roman"/>
          <w:sz w:val="24"/>
          <w:szCs w:val="24"/>
        </w:rPr>
        <w:t xml:space="preserve">, </w:t>
      </w:r>
      <w:r w:rsidR="009A5C15" w:rsidRPr="00AF41CC">
        <w:rPr>
          <w:rFonts w:ascii="Times New Roman" w:hAnsi="Times New Roman" w:cs="Times New Roman"/>
          <w:sz w:val="24"/>
          <w:szCs w:val="24"/>
        </w:rPr>
        <w:t xml:space="preserve">parle </w:t>
      </w:r>
      <w:r w:rsidR="00BA0DDD" w:rsidRPr="00AF41CC">
        <w:rPr>
          <w:rFonts w:ascii="Times New Roman" w:hAnsi="Times New Roman" w:cs="Times New Roman"/>
          <w:sz w:val="24"/>
          <w:szCs w:val="24"/>
        </w:rPr>
        <w:t xml:space="preserve">ainsi </w:t>
      </w:r>
      <w:r w:rsidR="009A5C15" w:rsidRPr="00AF41CC">
        <w:rPr>
          <w:rFonts w:ascii="Times New Roman" w:hAnsi="Times New Roman" w:cs="Times New Roman"/>
          <w:sz w:val="24"/>
          <w:szCs w:val="24"/>
        </w:rPr>
        <w:t xml:space="preserve">de la </w:t>
      </w:r>
      <w:r w:rsidR="009A5C15" w:rsidRPr="00AF41CC">
        <w:rPr>
          <w:rFonts w:ascii="Times New Roman" w:eastAsia="Times New Roman" w:hAnsi="Times New Roman" w:cs="Times New Roman"/>
          <w:color w:val="333333"/>
          <w:sz w:val="24"/>
          <w:szCs w:val="24"/>
          <w:shd w:val="clear" w:color="auto" w:fill="FFFFFF"/>
        </w:rPr>
        <w:t>nécessité d’un « nouveau cadre budgétaire pertinent</w:t>
      </w:r>
      <w:r w:rsidR="00CF7558" w:rsidRPr="00AF41CC">
        <w:rPr>
          <w:rFonts w:ascii="Times New Roman" w:eastAsia="Times New Roman" w:hAnsi="Times New Roman" w:cs="Times New Roman"/>
          <w:color w:val="333333"/>
          <w:sz w:val="24"/>
          <w:szCs w:val="24"/>
          <w:shd w:val="clear" w:color="auto" w:fill="FFFFFF"/>
        </w:rPr>
        <w:t xml:space="preserve"> » </w:t>
      </w:r>
      <w:r w:rsidR="009A5C15" w:rsidRPr="00AF41CC">
        <w:rPr>
          <w:rFonts w:ascii="Times New Roman" w:eastAsia="Times New Roman" w:hAnsi="Times New Roman" w:cs="Times New Roman"/>
          <w:color w:val="333333"/>
          <w:sz w:val="24"/>
          <w:szCs w:val="24"/>
          <w:shd w:val="clear" w:color="auto" w:fill="FFFFFF"/>
        </w:rPr>
        <w:t>pour une « stratégie européenne de croissance »</w:t>
      </w:r>
      <w:r w:rsidR="005D3353" w:rsidRPr="00AF41CC">
        <w:rPr>
          <w:rFonts w:ascii="Times New Roman" w:eastAsia="Times New Roman" w:hAnsi="Times New Roman" w:cs="Times New Roman"/>
          <w:color w:val="333333"/>
          <w:sz w:val="24"/>
          <w:szCs w:val="24"/>
          <w:shd w:val="clear" w:color="auto" w:fill="FFFFFF"/>
        </w:rPr>
        <w:t xml:space="preserve">. </w:t>
      </w:r>
      <w:r w:rsidR="006C4C96" w:rsidRPr="00AF41CC">
        <w:rPr>
          <w:rFonts w:ascii="Times New Roman" w:eastAsia="Times New Roman" w:hAnsi="Times New Roman" w:cs="Times New Roman"/>
          <w:color w:val="212121"/>
          <w:sz w:val="24"/>
          <w:szCs w:val="24"/>
          <w:shd w:val="clear" w:color="auto" w:fill="FFFFFF"/>
          <w:lang w:eastAsia="fr-FR"/>
        </w:rPr>
        <w:t xml:space="preserve">Autrement dit, il s’agit de faire front commun </w:t>
      </w:r>
      <w:r w:rsidR="00370CD3" w:rsidRPr="00AF41CC">
        <w:rPr>
          <w:rFonts w:ascii="Times New Roman" w:eastAsia="Times New Roman" w:hAnsi="Times New Roman" w:cs="Times New Roman"/>
          <w:color w:val="212121"/>
          <w:sz w:val="24"/>
          <w:szCs w:val="24"/>
          <w:shd w:val="clear" w:color="auto" w:fill="FFFFFF"/>
          <w:lang w:eastAsia="fr-FR"/>
        </w:rPr>
        <w:t xml:space="preserve">en interne </w:t>
      </w:r>
      <w:r w:rsidR="006C4C96" w:rsidRPr="00AF41CC">
        <w:rPr>
          <w:rFonts w:ascii="Times New Roman" w:eastAsia="Times New Roman" w:hAnsi="Times New Roman" w:cs="Times New Roman"/>
          <w:color w:val="212121"/>
          <w:sz w:val="24"/>
          <w:szCs w:val="24"/>
          <w:shd w:val="clear" w:color="auto" w:fill="FFFFFF"/>
          <w:lang w:eastAsia="fr-FR"/>
        </w:rPr>
        <w:t>contre les tenants les plus rigides de l’orthodoxie budgétaire et monétaire, encore assez nombreux en Europe du nord</w:t>
      </w:r>
      <w:r w:rsidR="006B4EE7" w:rsidRPr="00AF41CC">
        <w:rPr>
          <w:rFonts w:ascii="Times New Roman" w:eastAsia="Times New Roman" w:hAnsi="Times New Roman" w:cs="Times New Roman"/>
          <w:color w:val="212121"/>
          <w:sz w:val="24"/>
          <w:szCs w:val="24"/>
          <w:shd w:val="clear" w:color="auto" w:fill="FFFFFF"/>
          <w:lang w:eastAsia="fr-FR"/>
        </w:rPr>
        <w:t xml:space="preserve">, en aucun cas de faire de </w:t>
      </w:r>
      <w:r w:rsidR="008E666F" w:rsidRPr="00AF41CC">
        <w:rPr>
          <w:rFonts w:ascii="Times New Roman" w:eastAsia="Times New Roman" w:hAnsi="Times New Roman" w:cs="Times New Roman"/>
          <w:color w:val="212121"/>
          <w:sz w:val="24"/>
          <w:szCs w:val="24"/>
          <w:shd w:val="clear" w:color="auto" w:fill="FFFFFF"/>
          <w:lang w:eastAsia="fr-FR"/>
        </w:rPr>
        <w:t xml:space="preserve">l’orientation </w:t>
      </w:r>
      <w:r w:rsidR="006B4EE7" w:rsidRPr="00AF41CC">
        <w:rPr>
          <w:rFonts w:ascii="Times New Roman" w:eastAsia="Times New Roman" w:hAnsi="Times New Roman" w:cs="Times New Roman"/>
          <w:color w:val="212121"/>
          <w:sz w:val="24"/>
          <w:szCs w:val="24"/>
          <w:shd w:val="clear" w:color="auto" w:fill="FFFFFF"/>
          <w:lang w:eastAsia="fr-FR"/>
        </w:rPr>
        <w:t xml:space="preserve">générale </w:t>
      </w:r>
      <w:r w:rsidR="008E666F" w:rsidRPr="00AF41CC">
        <w:rPr>
          <w:rFonts w:ascii="Times New Roman" w:eastAsia="Times New Roman" w:hAnsi="Times New Roman" w:cs="Times New Roman"/>
          <w:color w:val="212121"/>
          <w:sz w:val="24"/>
          <w:szCs w:val="24"/>
          <w:shd w:val="clear" w:color="auto" w:fill="FFFFFF"/>
          <w:lang w:eastAsia="fr-FR"/>
        </w:rPr>
        <w:t xml:space="preserve">de la politique économique </w:t>
      </w:r>
      <w:r w:rsidR="006B4EE7" w:rsidRPr="00AF41CC">
        <w:rPr>
          <w:rFonts w:ascii="Times New Roman" w:eastAsia="Times New Roman" w:hAnsi="Times New Roman" w:cs="Times New Roman"/>
          <w:color w:val="212121"/>
          <w:sz w:val="24"/>
          <w:szCs w:val="24"/>
          <w:shd w:val="clear" w:color="auto" w:fill="FFFFFF"/>
          <w:lang w:eastAsia="fr-FR"/>
        </w:rPr>
        <w:t>un objet</w:t>
      </w:r>
      <w:r w:rsidR="008E666F" w:rsidRPr="00AF41CC">
        <w:rPr>
          <w:rFonts w:ascii="Times New Roman" w:eastAsia="Times New Roman" w:hAnsi="Times New Roman" w:cs="Times New Roman"/>
          <w:color w:val="212121"/>
          <w:sz w:val="24"/>
          <w:szCs w:val="24"/>
          <w:shd w:val="clear" w:color="auto" w:fill="FFFFFF"/>
          <w:lang w:eastAsia="fr-FR"/>
        </w:rPr>
        <w:t xml:space="preserve"> de la délibération publique</w:t>
      </w:r>
      <w:r w:rsidR="00A72B90" w:rsidRPr="00AF41CC">
        <w:rPr>
          <w:rFonts w:ascii="Times New Roman" w:eastAsia="Times New Roman" w:hAnsi="Times New Roman" w:cs="Times New Roman"/>
          <w:color w:val="212121"/>
          <w:sz w:val="24"/>
          <w:szCs w:val="24"/>
          <w:shd w:val="clear" w:color="auto" w:fill="FFFFFF"/>
          <w:lang w:eastAsia="fr-FR"/>
        </w:rPr>
        <w:t xml:space="preserve"> dont pourraient s’emparer les citoyens.</w:t>
      </w:r>
      <w:r w:rsidR="008E666F" w:rsidRPr="00AF41CC">
        <w:rPr>
          <w:rFonts w:ascii="Times New Roman" w:eastAsia="Times New Roman" w:hAnsi="Times New Roman" w:cs="Times New Roman"/>
          <w:color w:val="212121"/>
          <w:sz w:val="24"/>
          <w:szCs w:val="24"/>
          <w:shd w:val="clear" w:color="auto" w:fill="FFFFFF"/>
          <w:lang w:eastAsia="fr-FR"/>
        </w:rPr>
        <w:t xml:space="preserve"> </w:t>
      </w:r>
      <w:r w:rsidR="00F009AE" w:rsidRPr="00AF41CC">
        <w:rPr>
          <w:rFonts w:ascii="Times New Roman" w:eastAsia="Times New Roman" w:hAnsi="Times New Roman" w:cs="Times New Roman"/>
          <w:color w:val="212121"/>
          <w:sz w:val="24"/>
          <w:szCs w:val="24"/>
          <w:shd w:val="clear" w:color="auto" w:fill="FFFFFF"/>
          <w:lang w:eastAsia="fr-FR"/>
        </w:rPr>
        <w:t xml:space="preserve">A l’initiative de Bruno Lemaire, </w:t>
      </w:r>
      <w:r w:rsidR="006940D0" w:rsidRPr="00AF41CC">
        <w:rPr>
          <w:rFonts w:ascii="Times New Roman" w:eastAsia="Times New Roman" w:hAnsi="Times New Roman" w:cs="Times New Roman"/>
          <w:color w:val="212121"/>
          <w:sz w:val="24"/>
          <w:szCs w:val="24"/>
          <w:shd w:val="clear" w:color="auto" w:fill="FFFFFF"/>
          <w:lang w:eastAsia="fr-FR"/>
        </w:rPr>
        <w:t xml:space="preserve">ministre </w:t>
      </w:r>
      <w:r w:rsidR="00E22E04" w:rsidRPr="00AF41CC">
        <w:rPr>
          <w:rFonts w:ascii="Times New Roman" w:eastAsia="Times New Roman" w:hAnsi="Times New Roman" w:cs="Times New Roman"/>
          <w:color w:val="212121"/>
          <w:sz w:val="24"/>
          <w:szCs w:val="24"/>
          <w:shd w:val="clear" w:color="auto" w:fill="FFFFFF"/>
          <w:lang w:eastAsia="fr-FR"/>
        </w:rPr>
        <w:t xml:space="preserve">français </w:t>
      </w:r>
      <w:r w:rsidR="006940D0" w:rsidRPr="00AF41CC">
        <w:rPr>
          <w:rFonts w:ascii="Times New Roman" w:eastAsia="Times New Roman" w:hAnsi="Times New Roman" w:cs="Times New Roman"/>
          <w:color w:val="212121"/>
          <w:sz w:val="24"/>
          <w:szCs w:val="24"/>
          <w:shd w:val="clear" w:color="auto" w:fill="FFFFFF"/>
          <w:lang w:eastAsia="fr-FR"/>
        </w:rPr>
        <w:t xml:space="preserve">de l’économie et des finances, </w:t>
      </w:r>
      <w:r w:rsidR="00AF7CC1" w:rsidRPr="00AF41CC">
        <w:rPr>
          <w:rFonts w:ascii="Times New Roman" w:eastAsia="Times New Roman" w:hAnsi="Times New Roman" w:cs="Times New Roman"/>
          <w:color w:val="212121"/>
          <w:sz w:val="24"/>
          <w:szCs w:val="24"/>
          <w:shd w:val="clear" w:color="auto" w:fill="FFFFFF"/>
          <w:lang w:eastAsia="fr-FR"/>
        </w:rPr>
        <w:t xml:space="preserve">le Parlement a </w:t>
      </w:r>
      <w:r w:rsidR="00F009AE" w:rsidRPr="00AF41CC">
        <w:rPr>
          <w:rFonts w:ascii="Times New Roman" w:eastAsia="Times New Roman" w:hAnsi="Times New Roman" w:cs="Times New Roman"/>
          <w:color w:val="212121"/>
          <w:sz w:val="24"/>
          <w:szCs w:val="24"/>
          <w:shd w:val="clear" w:color="auto" w:fill="FFFFFF"/>
          <w:lang w:eastAsia="fr-FR"/>
        </w:rPr>
        <w:t xml:space="preserve">d’ailleurs </w:t>
      </w:r>
      <w:r w:rsidR="00AF7CC1" w:rsidRPr="00AF41CC">
        <w:rPr>
          <w:rFonts w:ascii="Times New Roman" w:eastAsia="Times New Roman" w:hAnsi="Times New Roman" w:cs="Times New Roman"/>
          <w:color w:val="212121"/>
          <w:sz w:val="24"/>
          <w:szCs w:val="24"/>
          <w:shd w:val="clear" w:color="auto" w:fill="FFFFFF"/>
          <w:lang w:eastAsia="fr-FR"/>
        </w:rPr>
        <w:t xml:space="preserve">récemment </w:t>
      </w:r>
      <w:r w:rsidR="006940D0" w:rsidRPr="00AF41CC">
        <w:rPr>
          <w:rFonts w:ascii="Times New Roman" w:eastAsia="Times New Roman" w:hAnsi="Times New Roman" w:cs="Times New Roman"/>
          <w:color w:val="212121"/>
          <w:sz w:val="24"/>
          <w:szCs w:val="24"/>
          <w:shd w:val="clear" w:color="auto" w:fill="FFFFFF"/>
          <w:lang w:eastAsia="fr-FR"/>
        </w:rPr>
        <w:t>adopt</w:t>
      </w:r>
      <w:r w:rsidR="00AF7CC1" w:rsidRPr="00AF41CC">
        <w:rPr>
          <w:rFonts w:ascii="Times New Roman" w:eastAsia="Times New Roman" w:hAnsi="Times New Roman" w:cs="Times New Roman"/>
          <w:color w:val="212121"/>
          <w:sz w:val="24"/>
          <w:szCs w:val="24"/>
          <w:shd w:val="clear" w:color="auto" w:fill="FFFFFF"/>
          <w:lang w:eastAsia="fr-FR"/>
        </w:rPr>
        <w:t xml:space="preserve">é le principe d’une limite </w:t>
      </w:r>
      <w:r w:rsidR="00404425" w:rsidRPr="00AF41CC">
        <w:rPr>
          <w:rFonts w:ascii="Times New Roman" w:eastAsia="Times New Roman" w:hAnsi="Times New Roman" w:cs="Times New Roman"/>
          <w:color w:val="212121"/>
          <w:sz w:val="24"/>
          <w:szCs w:val="24"/>
          <w:shd w:val="clear" w:color="auto" w:fill="FFFFFF"/>
          <w:lang w:eastAsia="fr-FR"/>
        </w:rPr>
        <w:t xml:space="preserve">intangible </w:t>
      </w:r>
      <w:r w:rsidR="00AF7CC1" w:rsidRPr="00AF41CC">
        <w:rPr>
          <w:rFonts w:ascii="Times New Roman" w:eastAsia="Times New Roman" w:hAnsi="Times New Roman" w:cs="Times New Roman"/>
          <w:color w:val="212121"/>
          <w:sz w:val="24"/>
          <w:szCs w:val="24"/>
          <w:shd w:val="clear" w:color="auto" w:fill="FFFFFF"/>
          <w:lang w:eastAsia="fr-FR"/>
        </w:rPr>
        <w:t xml:space="preserve">du montant </w:t>
      </w:r>
      <w:r w:rsidR="006940D0" w:rsidRPr="00AF41CC">
        <w:rPr>
          <w:rFonts w:ascii="Times New Roman" w:eastAsia="Times New Roman" w:hAnsi="Times New Roman" w:cs="Times New Roman"/>
          <w:color w:val="212121"/>
          <w:sz w:val="24"/>
          <w:szCs w:val="24"/>
          <w:shd w:val="clear" w:color="auto" w:fill="FFFFFF"/>
          <w:lang w:eastAsia="fr-FR"/>
        </w:rPr>
        <w:t xml:space="preserve">absolu </w:t>
      </w:r>
      <w:r w:rsidR="00AF7CC1" w:rsidRPr="00AF41CC">
        <w:rPr>
          <w:rFonts w:ascii="Times New Roman" w:eastAsia="Times New Roman" w:hAnsi="Times New Roman" w:cs="Times New Roman"/>
          <w:color w:val="212121"/>
          <w:sz w:val="24"/>
          <w:szCs w:val="24"/>
          <w:shd w:val="clear" w:color="auto" w:fill="FFFFFF"/>
          <w:lang w:eastAsia="fr-FR"/>
        </w:rPr>
        <w:t>des dépenses publiques valant pour toute la durée d’une mandature (cinq ans)</w:t>
      </w:r>
      <w:r w:rsidR="00F009AE" w:rsidRPr="00AF41CC">
        <w:rPr>
          <w:rFonts w:ascii="Times New Roman" w:eastAsia="Times New Roman" w:hAnsi="Times New Roman" w:cs="Times New Roman"/>
          <w:color w:val="212121"/>
          <w:sz w:val="24"/>
          <w:szCs w:val="24"/>
          <w:shd w:val="clear" w:color="auto" w:fill="FFFFFF"/>
          <w:lang w:eastAsia="fr-FR"/>
        </w:rPr>
        <w:t xml:space="preserve">. </w:t>
      </w:r>
      <w:r w:rsidR="00012979" w:rsidRPr="00AF41CC">
        <w:rPr>
          <w:rFonts w:ascii="Times New Roman" w:eastAsia="Times New Roman" w:hAnsi="Times New Roman" w:cs="Times New Roman"/>
          <w:color w:val="212121"/>
          <w:sz w:val="24"/>
          <w:szCs w:val="24"/>
          <w:shd w:val="clear" w:color="auto" w:fill="FFFFFF"/>
        </w:rPr>
        <w:t xml:space="preserve">L’assouplissement des règles </w:t>
      </w:r>
      <w:r w:rsidR="00370CD3" w:rsidRPr="00AF41CC">
        <w:rPr>
          <w:rFonts w:ascii="Times New Roman" w:eastAsia="Times New Roman" w:hAnsi="Times New Roman" w:cs="Times New Roman"/>
          <w:color w:val="212121"/>
          <w:sz w:val="24"/>
          <w:szCs w:val="24"/>
          <w:shd w:val="clear" w:color="auto" w:fill="FFFFFF"/>
        </w:rPr>
        <w:t xml:space="preserve">de l’UE </w:t>
      </w:r>
      <w:r w:rsidR="006C4C96" w:rsidRPr="00AF41CC">
        <w:rPr>
          <w:rFonts w:ascii="Times New Roman" w:eastAsia="Times New Roman" w:hAnsi="Times New Roman" w:cs="Times New Roman"/>
          <w:color w:val="212121"/>
          <w:sz w:val="24"/>
          <w:szCs w:val="24"/>
          <w:shd w:val="clear" w:color="auto" w:fill="FFFFFF"/>
        </w:rPr>
        <w:t xml:space="preserve">est </w:t>
      </w:r>
      <w:r w:rsidR="005D3353" w:rsidRPr="00AF41CC">
        <w:rPr>
          <w:rFonts w:ascii="Times New Roman" w:eastAsia="Times New Roman" w:hAnsi="Times New Roman" w:cs="Times New Roman"/>
          <w:color w:val="212121"/>
          <w:sz w:val="24"/>
          <w:szCs w:val="24"/>
          <w:shd w:val="clear" w:color="auto" w:fill="FFFFFF"/>
        </w:rPr>
        <w:t xml:space="preserve">également </w:t>
      </w:r>
      <w:r w:rsidR="006C4C96" w:rsidRPr="00AF41CC">
        <w:rPr>
          <w:rFonts w:ascii="Times New Roman" w:eastAsia="Times New Roman" w:hAnsi="Times New Roman" w:cs="Times New Roman"/>
          <w:color w:val="212121"/>
          <w:sz w:val="24"/>
          <w:szCs w:val="24"/>
          <w:shd w:val="clear" w:color="auto" w:fill="FFFFFF"/>
        </w:rPr>
        <w:t xml:space="preserve">lié </w:t>
      </w:r>
      <w:r w:rsidR="00370CD3" w:rsidRPr="00AF41CC">
        <w:rPr>
          <w:rFonts w:ascii="Times New Roman" w:eastAsia="Times New Roman" w:hAnsi="Times New Roman" w:cs="Times New Roman"/>
          <w:color w:val="212121"/>
          <w:sz w:val="24"/>
          <w:szCs w:val="24"/>
          <w:shd w:val="clear" w:color="auto" w:fill="FFFFFF"/>
        </w:rPr>
        <w:t xml:space="preserve">en externe </w:t>
      </w:r>
      <w:r w:rsidR="006C4C96" w:rsidRPr="00AF41CC">
        <w:rPr>
          <w:rFonts w:ascii="Times New Roman" w:eastAsia="Times New Roman" w:hAnsi="Times New Roman" w:cs="Times New Roman"/>
          <w:color w:val="212121"/>
          <w:sz w:val="24"/>
          <w:szCs w:val="24"/>
          <w:shd w:val="clear" w:color="auto" w:fill="FFFFFF"/>
        </w:rPr>
        <w:t>à</w:t>
      </w:r>
      <w:r w:rsidR="009E0A3C" w:rsidRPr="00AF41CC">
        <w:rPr>
          <w:rFonts w:ascii="Times New Roman" w:eastAsia="Times New Roman" w:hAnsi="Times New Roman" w:cs="Times New Roman"/>
          <w:color w:val="212121"/>
          <w:sz w:val="24"/>
          <w:szCs w:val="24"/>
          <w:shd w:val="clear" w:color="auto" w:fill="FFFFFF"/>
        </w:rPr>
        <w:t xml:space="preserve"> la prise de conscience des rapports de force et </w:t>
      </w:r>
      <w:r w:rsidR="00370CD3" w:rsidRPr="00AF41CC">
        <w:rPr>
          <w:rFonts w:ascii="Times New Roman" w:eastAsia="Times New Roman" w:hAnsi="Times New Roman" w:cs="Times New Roman"/>
          <w:color w:val="212121"/>
          <w:sz w:val="24"/>
          <w:szCs w:val="24"/>
          <w:shd w:val="clear" w:color="auto" w:fill="FFFFFF"/>
        </w:rPr>
        <w:t xml:space="preserve">plus particulièrement </w:t>
      </w:r>
      <w:r w:rsidR="004672CF" w:rsidRPr="00AF41CC">
        <w:rPr>
          <w:rFonts w:ascii="Times New Roman" w:eastAsia="Times New Roman" w:hAnsi="Times New Roman" w:cs="Times New Roman"/>
          <w:color w:val="212121"/>
          <w:sz w:val="24"/>
          <w:szCs w:val="24"/>
          <w:shd w:val="clear" w:color="auto" w:fill="FFFFFF"/>
        </w:rPr>
        <w:t xml:space="preserve">à celle </w:t>
      </w:r>
      <w:r w:rsidR="009E0A3C" w:rsidRPr="00AF41CC">
        <w:rPr>
          <w:rFonts w:ascii="Times New Roman" w:eastAsia="Times New Roman" w:hAnsi="Times New Roman" w:cs="Times New Roman"/>
          <w:color w:val="212121"/>
          <w:sz w:val="24"/>
          <w:szCs w:val="24"/>
          <w:shd w:val="clear" w:color="auto" w:fill="FFFFFF"/>
        </w:rPr>
        <w:t>de la « dépendance » des pays européens à l’égard des différents « pays ateliers » asiatiques</w:t>
      </w:r>
      <w:r w:rsidR="006C4C96" w:rsidRPr="00AF41CC">
        <w:rPr>
          <w:rFonts w:ascii="Times New Roman" w:eastAsia="Times New Roman" w:hAnsi="Times New Roman" w:cs="Times New Roman"/>
          <w:color w:val="212121"/>
          <w:sz w:val="24"/>
          <w:szCs w:val="24"/>
          <w:shd w:val="clear" w:color="auto" w:fill="FFFFFF"/>
        </w:rPr>
        <w:t>, notamment de la Chine.  Une</w:t>
      </w:r>
      <w:r w:rsidR="00005C2C" w:rsidRPr="00AF41CC">
        <w:rPr>
          <w:rFonts w:ascii="Times New Roman" w:eastAsia="Times New Roman" w:hAnsi="Times New Roman" w:cs="Times New Roman"/>
          <w:color w:val="212121"/>
          <w:sz w:val="24"/>
          <w:szCs w:val="24"/>
          <w:shd w:val="clear" w:color="auto" w:fill="FFFFFF"/>
        </w:rPr>
        <w:t xml:space="preserve"> formule </w:t>
      </w:r>
      <w:r w:rsidR="006C4C96" w:rsidRPr="00AF41CC">
        <w:rPr>
          <w:rFonts w:ascii="Times New Roman" w:eastAsia="Times New Roman" w:hAnsi="Times New Roman" w:cs="Times New Roman"/>
          <w:color w:val="212121"/>
          <w:sz w:val="24"/>
          <w:szCs w:val="24"/>
          <w:shd w:val="clear" w:color="auto" w:fill="FFFFFF"/>
        </w:rPr>
        <w:t xml:space="preserve">du Traité du Quirinal </w:t>
      </w:r>
      <w:r w:rsidR="007F6C1B" w:rsidRPr="00AF41CC">
        <w:rPr>
          <w:rFonts w:ascii="Times New Roman" w:eastAsia="Times New Roman" w:hAnsi="Times New Roman" w:cs="Times New Roman"/>
          <w:color w:val="212121"/>
          <w:sz w:val="24"/>
          <w:szCs w:val="24"/>
          <w:shd w:val="clear" w:color="auto" w:fill="FFFFFF"/>
        </w:rPr>
        <w:t xml:space="preserve">en </w:t>
      </w:r>
      <w:r w:rsidR="00005C2C" w:rsidRPr="00AF41CC">
        <w:rPr>
          <w:rFonts w:ascii="Times New Roman" w:eastAsia="Times New Roman" w:hAnsi="Times New Roman" w:cs="Times New Roman"/>
          <w:color w:val="212121"/>
          <w:sz w:val="24"/>
          <w:szCs w:val="24"/>
          <w:shd w:val="clear" w:color="auto" w:fill="FFFFFF"/>
        </w:rPr>
        <w:t xml:space="preserve">donne la </w:t>
      </w:r>
      <w:r w:rsidR="006C4C96" w:rsidRPr="00AF41CC">
        <w:rPr>
          <w:rFonts w:ascii="Times New Roman" w:eastAsia="Times New Roman" w:hAnsi="Times New Roman" w:cs="Times New Roman"/>
          <w:color w:val="212121"/>
          <w:sz w:val="24"/>
          <w:szCs w:val="24"/>
          <w:shd w:val="clear" w:color="auto" w:fill="FFFFFF"/>
        </w:rPr>
        <w:t>véritable signification</w:t>
      </w:r>
      <w:r w:rsidR="007F6C1B" w:rsidRPr="00AF41CC">
        <w:rPr>
          <w:rFonts w:ascii="Times New Roman" w:eastAsia="Times New Roman" w:hAnsi="Times New Roman" w:cs="Times New Roman"/>
          <w:color w:val="212121"/>
          <w:sz w:val="24"/>
          <w:szCs w:val="24"/>
          <w:shd w:val="clear" w:color="auto" w:fill="FFFFFF"/>
        </w:rPr>
        <w:t>,</w:t>
      </w:r>
      <w:r w:rsidR="009A5C15" w:rsidRPr="00AF41CC">
        <w:rPr>
          <w:rFonts w:ascii="Times New Roman" w:eastAsia="Times New Roman" w:hAnsi="Times New Roman" w:cs="Times New Roman"/>
          <w:color w:val="212121"/>
          <w:sz w:val="24"/>
          <w:szCs w:val="24"/>
          <w:shd w:val="clear" w:color="auto" w:fill="FFFFFF"/>
        </w:rPr>
        <w:t xml:space="preserve"> celle « d’autonomie stratégique »</w:t>
      </w:r>
      <w:r w:rsidR="006C4C96" w:rsidRPr="00AF41CC">
        <w:rPr>
          <w:rFonts w:ascii="Times New Roman" w:eastAsia="Times New Roman" w:hAnsi="Times New Roman" w:cs="Times New Roman"/>
          <w:color w:val="212121"/>
          <w:sz w:val="24"/>
          <w:szCs w:val="24"/>
          <w:shd w:val="clear" w:color="auto" w:fill="FFFFFF"/>
        </w:rPr>
        <w:t xml:space="preserve"> </w:t>
      </w:r>
      <w:r w:rsidR="009A5C15" w:rsidRPr="00AF41CC">
        <w:rPr>
          <w:rFonts w:ascii="Times New Roman" w:eastAsia="Times New Roman" w:hAnsi="Times New Roman" w:cs="Times New Roman"/>
          <w:color w:val="212121"/>
          <w:sz w:val="24"/>
          <w:szCs w:val="24"/>
          <w:shd w:val="clear" w:color="auto" w:fill="FFFFFF"/>
        </w:rPr>
        <w:t>de l’Europe</w:t>
      </w:r>
      <w:r w:rsidR="007F6C1B" w:rsidRPr="00AF41CC">
        <w:rPr>
          <w:rFonts w:ascii="Times New Roman" w:eastAsia="Times New Roman" w:hAnsi="Times New Roman" w:cs="Times New Roman"/>
          <w:color w:val="212121"/>
          <w:sz w:val="24"/>
          <w:szCs w:val="24"/>
          <w:shd w:val="clear" w:color="auto" w:fill="FFFFFF"/>
        </w:rPr>
        <w:t xml:space="preserve"> selon les termes des dirigeants des deux pays</w:t>
      </w:r>
      <w:r w:rsidR="009A5C15" w:rsidRPr="00AF41CC">
        <w:rPr>
          <w:rFonts w:ascii="Times New Roman" w:eastAsia="Times New Roman" w:hAnsi="Times New Roman" w:cs="Times New Roman"/>
          <w:color w:val="212121"/>
          <w:sz w:val="24"/>
          <w:szCs w:val="24"/>
          <w:shd w:val="clear" w:color="auto" w:fill="FFFFFF"/>
        </w:rPr>
        <w:t xml:space="preserve">. Cette formule n’est pas originale, on la retrouve aussi bien aux Etats-Unis qu’en Chine. Elle constitue la nouvelle ligne directrice des politiques qui y sont menées, sur le plan économique, </w:t>
      </w:r>
      <w:r w:rsidR="00BA0DDD" w:rsidRPr="00AF41CC">
        <w:rPr>
          <w:rFonts w:ascii="Times New Roman" w:eastAsia="Times New Roman" w:hAnsi="Times New Roman" w:cs="Times New Roman"/>
          <w:color w:val="212121"/>
          <w:sz w:val="24"/>
          <w:szCs w:val="24"/>
          <w:shd w:val="clear" w:color="auto" w:fill="FFFFFF"/>
        </w:rPr>
        <w:t xml:space="preserve">énergétique, numérique et bien entendu </w:t>
      </w:r>
      <w:r w:rsidR="009A5C15" w:rsidRPr="00AF41CC">
        <w:rPr>
          <w:rFonts w:ascii="Times New Roman" w:eastAsia="Times New Roman" w:hAnsi="Times New Roman" w:cs="Times New Roman"/>
          <w:color w:val="212121"/>
          <w:sz w:val="24"/>
          <w:szCs w:val="24"/>
          <w:shd w:val="clear" w:color="auto" w:fill="FFFFFF"/>
        </w:rPr>
        <w:t>militaire</w:t>
      </w:r>
      <w:r w:rsidR="005D3353" w:rsidRPr="00AF41CC">
        <w:rPr>
          <w:rFonts w:ascii="Times New Roman" w:eastAsia="Times New Roman" w:hAnsi="Times New Roman" w:cs="Times New Roman"/>
          <w:color w:val="212121"/>
          <w:sz w:val="24"/>
          <w:szCs w:val="24"/>
          <w:shd w:val="clear" w:color="auto" w:fill="FFFFFF"/>
        </w:rPr>
        <w:t xml:space="preserve"> ou diplomatique,</w:t>
      </w:r>
      <w:r w:rsidR="009A5C15" w:rsidRPr="00AF41CC">
        <w:rPr>
          <w:rFonts w:ascii="Times New Roman" w:eastAsia="Times New Roman" w:hAnsi="Times New Roman" w:cs="Times New Roman"/>
          <w:color w:val="212121"/>
          <w:sz w:val="24"/>
          <w:szCs w:val="24"/>
          <w:shd w:val="clear" w:color="auto" w:fill="FFFFFF"/>
        </w:rPr>
        <w:t xml:space="preserve"> partant,</w:t>
      </w:r>
      <w:r w:rsidR="00BA0DDD" w:rsidRPr="00AF41CC">
        <w:rPr>
          <w:rFonts w:ascii="Times New Roman" w:eastAsia="Times New Roman" w:hAnsi="Times New Roman" w:cs="Times New Roman"/>
          <w:color w:val="212121"/>
          <w:sz w:val="24"/>
          <w:szCs w:val="24"/>
          <w:shd w:val="clear" w:color="auto" w:fill="FFFFFF"/>
        </w:rPr>
        <w:t xml:space="preserve"> elle est </w:t>
      </w:r>
      <w:r w:rsidR="009A5C15" w:rsidRPr="00AF41CC">
        <w:rPr>
          <w:rFonts w:ascii="Times New Roman" w:eastAsia="Times New Roman" w:hAnsi="Times New Roman" w:cs="Times New Roman"/>
          <w:color w:val="212121"/>
          <w:sz w:val="24"/>
          <w:szCs w:val="24"/>
          <w:shd w:val="clear" w:color="auto" w:fill="FFFFFF"/>
        </w:rPr>
        <w:t>la nouvelle norme de la structuration du monde</w:t>
      </w:r>
      <w:r w:rsidR="00BA0DDD" w:rsidRPr="00AF41CC">
        <w:rPr>
          <w:rFonts w:ascii="Times New Roman" w:eastAsia="Times New Roman" w:hAnsi="Times New Roman" w:cs="Times New Roman"/>
          <w:color w:val="212121"/>
          <w:sz w:val="24"/>
          <w:szCs w:val="24"/>
          <w:shd w:val="clear" w:color="auto" w:fill="FFFFFF"/>
        </w:rPr>
        <w:t xml:space="preserve"> en pôles de puissance qui se veulent relativement autonomes</w:t>
      </w:r>
      <w:r w:rsidR="009A5C15" w:rsidRPr="00AF41CC">
        <w:rPr>
          <w:rFonts w:ascii="Times New Roman" w:eastAsia="Times New Roman" w:hAnsi="Times New Roman" w:cs="Times New Roman"/>
          <w:color w:val="212121"/>
          <w:sz w:val="24"/>
          <w:szCs w:val="24"/>
          <w:shd w:val="clear" w:color="auto" w:fill="FFFFFF"/>
        </w:rPr>
        <w:t xml:space="preserve">. </w:t>
      </w:r>
      <w:r w:rsidR="005D3353" w:rsidRPr="00AF41CC">
        <w:rPr>
          <w:rFonts w:ascii="Times New Roman" w:eastAsia="Times New Roman" w:hAnsi="Times New Roman" w:cs="Times New Roman"/>
          <w:color w:val="212121"/>
          <w:sz w:val="24"/>
          <w:szCs w:val="24"/>
          <w:shd w:val="clear" w:color="auto" w:fill="FFFFFF"/>
        </w:rPr>
        <w:t xml:space="preserve">L’Europe devrait donc se donner les </w:t>
      </w:r>
      <w:r w:rsidR="005D3353" w:rsidRPr="00AF41CC">
        <w:rPr>
          <w:rFonts w:ascii="Times New Roman" w:eastAsia="Times New Roman" w:hAnsi="Times New Roman" w:cs="Times New Roman"/>
          <w:color w:val="212121"/>
          <w:sz w:val="24"/>
          <w:szCs w:val="24"/>
          <w:shd w:val="clear" w:color="auto" w:fill="FFFFFF"/>
        </w:rPr>
        <w:lastRenderedPageBreak/>
        <w:t xml:space="preserve">moyens réglementaires de financer </w:t>
      </w:r>
      <w:r w:rsidR="005D3353" w:rsidRPr="00AF41CC">
        <w:rPr>
          <w:rFonts w:ascii="Times New Roman" w:eastAsia="Times New Roman" w:hAnsi="Times New Roman" w:cs="Times New Roman"/>
          <w:color w:val="333333"/>
          <w:sz w:val="24"/>
          <w:szCs w:val="24"/>
          <w:shd w:val="clear" w:color="auto" w:fill="FFFFFF"/>
        </w:rPr>
        <w:t xml:space="preserve">les « dépenses de souveraineté », quitte d’ailleurs à relativiser les impératifs de la « transition énergétique ». </w:t>
      </w:r>
    </w:p>
    <w:p w14:paraId="4BB5DC0E" w14:textId="3C654C6E" w:rsidR="00F60ED9" w:rsidRPr="00AF41CC" w:rsidRDefault="00A46EAF" w:rsidP="005D3353">
      <w:pPr>
        <w:spacing w:line="360" w:lineRule="auto"/>
        <w:jc w:val="both"/>
        <w:rPr>
          <w:rFonts w:ascii="Times New Roman" w:hAnsi="Times New Roman" w:cs="Times New Roman"/>
          <w:b/>
          <w:bCs/>
          <w:sz w:val="24"/>
          <w:szCs w:val="24"/>
        </w:rPr>
      </w:pPr>
      <w:r w:rsidRPr="00AF41CC">
        <w:rPr>
          <w:rFonts w:ascii="Times New Roman" w:eastAsia="Times New Roman" w:hAnsi="Times New Roman" w:cs="Times New Roman"/>
          <w:b/>
          <w:bCs/>
          <w:color w:val="333333"/>
          <w:sz w:val="24"/>
          <w:szCs w:val="24"/>
          <w:shd w:val="clear" w:color="auto" w:fill="FFFFFF"/>
        </w:rPr>
        <w:t>La « taxonomie verte » et les intérêts de puissance</w:t>
      </w:r>
    </w:p>
    <w:p w14:paraId="04ACA84A" w14:textId="3FF23236" w:rsidR="00D05259" w:rsidRPr="00AF41CC" w:rsidRDefault="007E1A2E" w:rsidP="005D3353">
      <w:pPr>
        <w:spacing w:line="360" w:lineRule="auto"/>
        <w:jc w:val="both"/>
        <w:rPr>
          <w:rFonts w:ascii="Times New Roman" w:eastAsia="Times New Roman" w:hAnsi="Times New Roman" w:cs="Times New Roman"/>
          <w:color w:val="333333"/>
          <w:sz w:val="24"/>
          <w:szCs w:val="24"/>
          <w:shd w:val="clear" w:color="auto" w:fill="FFFFFF"/>
        </w:rPr>
      </w:pPr>
      <w:r w:rsidRPr="00AF41CC">
        <w:rPr>
          <w:rFonts w:ascii="Times New Roman" w:hAnsi="Times New Roman" w:cs="Times New Roman"/>
          <w:sz w:val="24"/>
          <w:szCs w:val="24"/>
        </w:rPr>
        <w:t>On le voit avec l</w:t>
      </w:r>
      <w:r w:rsidR="004150DF" w:rsidRPr="00AF41CC">
        <w:rPr>
          <w:rFonts w:ascii="Times New Roman" w:hAnsi="Times New Roman" w:cs="Times New Roman"/>
          <w:sz w:val="24"/>
          <w:szCs w:val="24"/>
        </w:rPr>
        <w:t xml:space="preserve">a proposition de la Commission européenne relative à la « taxonomie verte », soumise le 31 décembre </w:t>
      </w:r>
      <w:r w:rsidR="00F03BF3" w:rsidRPr="00AF41CC">
        <w:rPr>
          <w:rFonts w:ascii="Times New Roman" w:hAnsi="Times New Roman" w:cs="Times New Roman"/>
          <w:sz w:val="24"/>
          <w:szCs w:val="24"/>
        </w:rPr>
        <w:t xml:space="preserve">2021 </w:t>
      </w:r>
      <w:r w:rsidR="002602C1" w:rsidRPr="00AF41CC">
        <w:rPr>
          <w:rFonts w:ascii="Times New Roman" w:hAnsi="Times New Roman" w:cs="Times New Roman"/>
          <w:sz w:val="24"/>
          <w:szCs w:val="24"/>
        </w:rPr>
        <w:t xml:space="preserve">peu avant minuit </w:t>
      </w:r>
      <w:r w:rsidR="004150DF" w:rsidRPr="00AF41CC">
        <w:rPr>
          <w:rFonts w:ascii="Times New Roman" w:hAnsi="Times New Roman" w:cs="Times New Roman"/>
          <w:sz w:val="24"/>
          <w:szCs w:val="24"/>
        </w:rPr>
        <w:t>aux Etats membres</w:t>
      </w:r>
      <w:r w:rsidR="00186C0E" w:rsidRPr="00AF41CC">
        <w:rPr>
          <w:rFonts w:ascii="Times New Roman" w:hAnsi="Times New Roman" w:cs="Times New Roman"/>
          <w:sz w:val="24"/>
          <w:szCs w:val="24"/>
        </w:rPr>
        <w:t>,</w:t>
      </w:r>
      <w:r w:rsidR="006243AC" w:rsidRPr="00AF41CC">
        <w:rPr>
          <w:rFonts w:ascii="Times New Roman" w:hAnsi="Times New Roman" w:cs="Times New Roman"/>
          <w:sz w:val="24"/>
          <w:szCs w:val="24"/>
        </w:rPr>
        <w:t xml:space="preserve"> </w:t>
      </w:r>
      <w:r w:rsidRPr="00AF41CC">
        <w:rPr>
          <w:rFonts w:ascii="Times New Roman" w:hAnsi="Times New Roman" w:cs="Times New Roman"/>
          <w:sz w:val="24"/>
          <w:szCs w:val="24"/>
        </w:rPr>
        <w:t xml:space="preserve">qui </w:t>
      </w:r>
      <w:r w:rsidR="006243AC" w:rsidRPr="00AF41CC">
        <w:rPr>
          <w:rFonts w:ascii="Times New Roman" w:hAnsi="Times New Roman" w:cs="Times New Roman"/>
          <w:sz w:val="24"/>
          <w:szCs w:val="24"/>
        </w:rPr>
        <w:t xml:space="preserve">met au jour la réalité </w:t>
      </w:r>
      <w:r w:rsidR="00186C0E" w:rsidRPr="00AF41CC">
        <w:rPr>
          <w:rFonts w:ascii="Times New Roman" w:hAnsi="Times New Roman" w:cs="Times New Roman"/>
          <w:sz w:val="24"/>
          <w:szCs w:val="24"/>
        </w:rPr>
        <w:t xml:space="preserve">sans phrases </w:t>
      </w:r>
      <w:r w:rsidR="006243AC" w:rsidRPr="00AF41CC">
        <w:rPr>
          <w:rFonts w:ascii="Times New Roman" w:hAnsi="Times New Roman" w:cs="Times New Roman"/>
          <w:sz w:val="24"/>
          <w:szCs w:val="24"/>
        </w:rPr>
        <w:t xml:space="preserve">de cette prétendue </w:t>
      </w:r>
      <w:r w:rsidR="00186C0E" w:rsidRPr="00AF41CC">
        <w:rPr>
          <w:rFonts w:ascii="Times New Roman" w:hAnsi="Times New Roman" w:cs="Times New Roman"/>
          <w:sz w:val="24"/>
          <w:szCs w:val="24"/>
        </w:rPr>
        <w:t>« </w:t>
      </w:r>
      <w:r w:rsidR="006243AC" w:rsidRPr="00AF41CC">
        <w:rPr>
          <w:rFonts w:ascii="Times New Roman" w:hAnsi="Times New Roman" w:cs="Times New Roman"/>
          <w:sz w:val="24"/>
          <w:szCs w:val="24"/>
        </w:rPr>
        <w:t>souveraineté européenne</w:t>
      </w:r>
      <w:r w:rsidR="00186C0E" w:rsidRPr="00AF41CC">
        <w:rPr>
          <w:rFonts w:ascii="Times New Roman" w:hAnsi="Times New Roman" w:cs="Times New Roman"/>
          <w:sz w:val="24"/>
          <w:szCs w:val="24"/>
        </w:rPr>
        <w:t xml:space="preserve"> » </w:t>
      </w:r>
      <w:r w:rsidR="003C2EEA" w:rsidRPr="00AF41CC">
        <w:rPr>
          <w:rFonts w:ascii="Times New Roman" w:hAnsi="Times New Roman" w:cs="Times New Roman"/>
          <w:sz w:val="24"/>
          <w:szCs w:val="24"/>
        </w:rPr>
        <w:t>toujours invoquée</w:t>
      </w:r>
      <w:r w:rsidR="006243AC" w:rsidRPr="00AF41CC">
        <w:rPr>
          <w:rFonts w:ascii="Times New Roman" w:hAnsi="Times New Roman" w:cs="Times New Roman"/>
          <w:sz w:val="24"/>
          <w:szCs w:val="24"/>
        </w:rPr>
        <w:t xml:space="preserve"> en des phrases grandiloquentes.</w:t>
      </w:r>
      <w:r w:rsidR="00E375E4" w:rsidRPr="00AF41CC">
        <w:rPr>
          <w:rFonts w:ascii="Times New Roman" w:hAnsi="Times New Roman" w:cs="Times New Roman"/>
          <w:sz w:val="24"/>
          <w:szCs w:val="24"/>
        </w:rPr>
        <w:t xml:space="preserve"> Plus précisément i</w:t>
      </w:r>
      <w:r w:rsidR="00186C0E" w:rsidRPr="00AF41CC">
        <w:rPr>
          <w:rFonts w:ascii="Times New Roman" w:hAnsi="Times New Roman" w:cs="Times New Roman"/>
          <w:sz w:val="24"/>
          <w:szCs w:val="24"/>
        </w:rPr>
        <w:t xml:space="preserve">l s’agit </w:t>
      </w:r>
      <w:r w:rsidR="00E375E4" w:rsidRPr="00AF41CC">
        <w:rPr>
          <w:rFonts w:ascii="Times New Roman" w:hAnsi="Times New Roman" w:cs="Times New Roman"/>
          <w:sz w:val="24"/>
          <w:szCs w:val="24"/>
        </w:rPr>
        <w:t>de ce qu’il est convenu d’appeler la « souveraineté énergétique » : l’objectif est</w:t>
      </w:r>
      <w:r w:rsidR="00186C0E" w:rsidRPr="00AF41CC">
        <w:rPr>
          <w:rFonts w:ascii="Times New Roman" w:hAnsi="Times New Roman" w:cs="Times New Roman"/>
          <w:sz w:val="24"/>
          <w:szCs w:val="24"/>
        </w:rPr>
        <w:t xml:space="preserve"> </w:t>
      </w:r>
      <w:r w:rsidR="00E375E4" w:rsidRPr="00AF41CC">
        <w:rPr>
          <w:rFonts w:ascii="Times New Roman" w:hAnsi="Times New Roman" w:cs="Times New Roman"/>
          <w:sz w:val="24"/>
          <w:szCs w:val="24"/>
        </w:rPr>
        <w:t xml:space="preserve">en effet </w:t>
      </w:r>
      <w:r w:rsidR="00186C0E" w:rsidRPr="00AF41CC">
        <w:rPr>
          <w:rFonts w:ascii="Times New Roman" w:hAnsi="Times New Roman" w:cs="Times New Roman"/>
          <w:sz w:val="24"/>
          <w:szCs w:val="24"/>
        </w:rPr>
        <w:t>d</w:t>
      </w:r>
      <w:r w:rsidR="00D52265" w:rsidRPr="00AF41CC">
        <w:rPr>
          <w:rFonts w:ascii="Times New Roman" w:hAnsi="Times New Roman" w:cs="Times New Roman"/>
          <w:sz w:val="24"/>
          <w:szCs w:val="24"/>
        </w:rPr>
        <w:t>’obtenir</w:t>
      </w:r>
      <w:r w:rsidR="00E36907" w:rsidRPr="00AF41CC">
        <w:rPr>
          <w:rFonts w:ascii="Times New Roman" w:hAnsi="Times New Roman" w:cs="Times New Roman"/>
          <w:sz w:val="24"/>
          <w:szCs w:val="24"/>
        </w:rPr>
        <w:t xml:space="preserve"> </w:t>
      </w:r>
      <w:r w:rsidR="00D52265" w:rsidRPr="00AF41CC">
        <w:rPr>
          <w:rFonts w:ascii="Times New Roman" w:hAnsi="Times New Roman" w:cs="Times New Roman"/>
          <w:sz w:val="24"/>
          <w:szCs w:val="24"/>
        </w:rPr>
        <w:t xml:space="preserve">que </w:t>
      </w:r>
      <w:r w:rsidR="00186C0E" w:rsidRPr="00AF41CC">
        <w:rPr>
          <w:rFonts w:ascii="Times New Roman" w:hAnsi="Times New Roman" w:cs="Times New Roman"/>
          <w:sz w:val="24"/>
          <w:szCs w:val="24"/>
        </w:rPr>
        <w:t>l’énergie nucléaire et le gaz, deux énergies introduites au dernier moment</w:t>
      </w:r>
      <w:r w:rsidR="003B26C0" w:rsidRPr="00AF41CC">
        <w:rPr>
          <w:rFonts w:ascii="Times New Roman" w:hAnsi="Times New Roman" w:cs="Times New Roman"/>
          <w:sz w:val="24"/>
          <w:szCs w:val="24"/>
        </w:rPr>
        <w:t xml:space="preserve"> dans le projet de la Commission,</w:t>
      </w:r>
      <w:r w:rsidR="00186C0E" w:rsidRPr="00AF41CC">
        <w:rPr>
          <w:rFonts w:ascii="Times New Roman" w:hAnsi="Times New Roman" w:cs="Times New Roman"/>
          <w:sz w:val="24"/>
          <w:szCs w:val="24"/>
        </w:rPr>
        <w:t xml:space="preserve"> </w:t>
      </w:r>
      <w:r w:rsidR="00D52265" w:rsidRPr="00AF41CC">
        <w:rPr>
          <w:rFonts w:ascii="Times New Roman" w:hAnsi="Times New Roman" w:cs="Times New Roman"/>
          <w:sz w:val="24"/>
          <w:szCs w:val="24"/>
        </w:rPr>
        <w:t xml:space="preserve">soient classifiées </w:t>
      </w:r>
      <w:r w:rsidR="00186C0E" w:rsidRPr="00AF41CC">
        <w:rPr>
          <w:rFonts w:ascii="Times New Roman" w:hAnsi="Times New Roman" w:cs="Times New Roman"/>
          <w:sz w:val="24"/>
          <w:szCs w:val="24"/>
        </w:rPr>
        <w:t>comme « énergies</w:t>
      </w:r>
      <w:r w:rsidR="003B26C0" w:rsidRPr="00AF41CC">
        <w:rPr>
          <w:rFonts w:ascii="Times New Roman" w:hAnsi="Times New Roman" w:cs="Times New Roman"/>
          <w:sz w:val="24"/>
          <w:szCs w:val="24"/>
        </w:rPr>
        <w:t xml:space="preserve"> </w:t>
      </w:r>
      <w:r w:rsidR="00186C0E" w:rsidRPr="00AF41CC">
        <w:rPr>
          <w:rFonts w:ascii="Times New Roman" w:hAnsi="Times New Roman" w:cs="Times New Roman"/>
          <w:sz w:val="24"/>
          <w:szCs w:val="24"/>
        </w:rPr>
        <w:t>vertes »</w:t>
      </w:r>
      <w:r w:rsidR="003B26C0" w:rsidRPr="00AF41CC">
        <w:rPr>
          <w:rFonts w:ascii="Times New Roman" w:hAnsi="Times New Roman" w:cs="Times New Roman"/>
          <w:sz w:val="24"/>
          <w:szCs w:val="24"/>
        </w:rPr>
        <w:t xml:space="preserve">. </w:t>
      </w:r>
      <w:r w:rsidR="00A36B83" w:rsidRPr="00AF41CC">
        <w:rPr>
          <w:rFonts w:ascii="Times New Roman" w:hAnsi="Times New Roman" w:cs="Times New Roman"/>
          <w:sz w:val="24"/>
          <w:szCs w:val="24"/>
        </w:rPr>
        <w:t>Si c</w:t>
      </w:r>
      <w:r w:rsidR="00F020CC" w:rsidRPr="00AF41CC">
        <w:rPr>
          <w:rFonts w:ascii="Times New Roman" w:hAnsi="Times New Roman" w:cs="Times New Roman"/>
          <w:sz w:val="24"/>
          <w:szCs w:val="24"/>
        </w:rPr>
        <w:t xml:space="preserve">ette proposition a suscité de vives réactions, c’est parce qu’elle </w:t>
      </w:r>
      <w:r w:rsidR="009A0230" w:rsidRPr="00AF41CC">
        <w:rPr>
          <w:rFonts w:ascii="Times New Roman" w:hAnsi="Times New Roman" w:cs="Times New Roman"/>
          <w:sz w:val="24"/>
          <w:szCs w:val="24"/>
        </w:rPr>
        <w:t>contrevient directement aux deux critères admis pour identifier des énergies comme « vertes » :</w:t>
      </w:r>
      <w:r w:rsidR="00D52265" w:rsidRPr="00AF41CC">
        <w:rPr>
          <w:rFonts w:ascii="Times New Roman" w:hAnsi="Times New Roman" w:cs="Times New Roman"/>
          <w:sz w:val="24"/>
          <w:szCs w:val="24"/>
        </w:rPr>
        <w:t xml:space="preserve"> en premier lieu, l’énergie prétendant à ce label ne doit pas émettre de gaz à effet de serre ; en second lieu, elle ne doit pas nuire à l’environnement. </w:t>
      </w:r>
      <w:r w:rsidR="00A36B83" w:rsidRPr="00AF41CC">
        <w:rPr>
          <w:rFonts w:ascii="Times New Roman" w:hAnsi="Times New Roman" w:cs="Times New Roman"/>
          <w:sz w:val="24"/>
          <w:szCs w:val="24"/>
        </w:rPr>
        <w:t>Si l’on croise ces deux critères, l</w:t>
      </w:r>
      <w:r w:rsidR="00284403" w:rsidRPr="00AF41CC">
        <w:rPr>
          <w:rFonts w:ascii="Times New Roman" w:hAnsi="Times New Roman" w:cs="Times New Roman"/>
          <w:sz w:val="24"/>
          <w:szCs w:val="24"/>
        </w:rPr>
        <w:t xml:space="preserve">’énergie nucléaire et le gaz ne peuvent </w:t>
      </w:r>
      <w:r w:rsidR="00124873" w:rsidRPr="00AF41CC">
        <w:rPr>
          <w:rFonts w:ascii="Times New Roman" w:hAnsi="Times New Roman" w:cs="Times New Roman"/>
          <w:sz w:val="24"/>
          <w:szCs w:val="24"/>
        </w:rPr>
        <w:t xml:space="preserve">pas </w:t>
      </w:r>
      <w:r w:rsidR="00284403" w:rsidRPr="00AF41CC">
        <w:rPr>
          <w:rFonts w:ascii="Times New Roman" w:hAnsi="Times New Roman" w:cs="Times New Roman"/>
          <w:sz w:val="24"/>
          <w:szCs w:val="24"/>
        </w:rPr>
        <w:t>être considérées comme des énergies vertes, la première en raison des effets générés à long termes par l’enfouissement des déchets qui portent atteinte au droit des générations futures, la seconde</w:t>
      </w:r>
      <w:r w:rsidR="00F03BF3" w:rsidRPr="00AF41CC">
        <w:rPr>
          <w:rFonts w:ascii="Times New Roman" w:hAnsi="Times New Roman" w:cs="Times New Roman"/>
          <w:sz w:val="24"/>
          <w:szCs w:val="24"/>
        </w:rPr>
        <w:t xml:space="preserve"> parce qu</w:t>
      </w:r>
      <w:r w:rsidR="002B1AF6" w:rsidRPr="00AF41CC">
        <w:rPr>
          <w:rFonts w:ascii="Times New Roman" w:hAnsi="Times New Roman" w:cs="Times New Roman"/>
          <w:sz w:val="24"/>
          <w:szCs w:val="24"/>
        </w:rPr>
        <w:t xml:space="preserve">e le </w:t>
      </w:r>
      <w:r w:rsidR="00F03BF3" w:rsidRPr="00AF41CC">
        <w:rPr>
          <w:rFonts w:ascii="Times New Roman" w:hAnsi="Times New Roman" w:cs="Times New Roman"/>
          <w:sz w:val="24"/>
          <w:szCs w:val="24"/>
        </w:rPr>
        <w:t xml:space="preserve">gaz fossile </w:t>
      </w:r>
      <w:r w:rsidR="002B1AF6" w:rsidRPr="00AF41CC">
        <w:rPr>
          <w:rFonts w:ascii="Times New Roman" w:hAnsi="Times New Roman" w:cs="Times New Roman"/>
          <w:sz w:val="24"/>
          <w:szCs w:val="24"/>
        </w:rPr>
        <w:t xml:space="preserve">est </w:t>
      </w:r>
      <w:r w:rsidR="00F03BF3" w:rsidRPr="00AF41CC">
        <w:rPr>
          <w:rFonts w:ascii="Times New Roman" w:hAnsi="Times New Roman" w:cs="Times New Roman"/>
          <w:sz w:val="24"/>
          <w:szCs w:val="24"/>
        </w:rPr>
        <w:t>émetteur d’un gaz à effet de serre</w:t>
      </w:r>
      <w:r w:rsidR="002B1AF6" w:rsidRPr="00AF41CC">
        <w:rPr>
          <w:rFonts w:ascii="Times New Roman" w:hAnsi="Times New Roman" w:cs="Times New Roman"/>
          <w:sz w:val="24"/>
          <w:szCs w:val="24"/>
        </w:rPr>
        <w:t>.</w:t>
      </w:r>
      <w:r w:rsidR="00F03BF3" w:rsidRPr="00AF41CC">
        <w:rPr>
          <w:rFonts w:ascii="Times New Roman" w:hAnsi="Times New Roman" w:cs="Times New Roman"/>
          <w:sz w:val="24"/>
          <w:szCs w:val="24"/>
        </w:rPr>
        <w:t xml:space="preserve"> </w:t>
      </w:r>
      <w:r w:rsidR="002B1AF6" w:rsidRPr="00AF41CC">
        <w:rPr>
          <w:rFonts w:ascii="Times New Roman" w:hAnsi="Times New Roman" w:cs="Times New Roman"/>
          <w:sz w:val="24"/>
          <w:szCs w:val="24"/>
        </w:rPr>
        <w:t xml:space="preserve">Deux pays </w:t>
      </w:r>
      <w:r w:rsidR="008A7FA2" w:rsidRPr="00AF41CC">
        <w:rPr>
          <w:rFonts w:ascii="Times New Roman" w:hAnsi="Times New Roman" w:cs="Times New Roman"/>
          <w:sz w:val="24"/>
          <w:szCs w:val="24"/>
        </w:rPr>
        <w:t>ont activement œuvré à cette</w:t>
      </w:r>
      <w:r w:rsidR="002B1AF6" w:rsidRPr="00AF41CC">
        <w:rPr>
          <w:rFonts w:ascii="Times New Roman" w:hAnsi="Times New Roman" w:cs="Times New Roman"/>
          <w:sz w:val="24"/>
          <w:szCs w:val="24"/>
        </w:rPr>
        <w:t xml:space="preserve"> </w:t>
      </w:r>
      <w:r w:rsidR="00AD76C9" w:rsidRPr="00AF41CC">
        <w:rPr>
          <w:rFonts w:ascii="Times New Roman" w:hAnsi="Times New Roman" w:cs="Times New Roman"/>
          <w:sz w:val="24"/>
          <w:szCs w:val="24"/>
        </w:rPr>
        <w:t>re</w:t>
      </w:r>
      <w:r w:rsidR="002B1AF6" w:rsidRPr="00AF41CC">
        <w:rPr>
          <w:rFonts w:ascii="Times New Roman" w:hAnsi="Times New Roman" w:cs="Times New Roman"/>
          <w:sz w:val="24"/>
          <w:szCs w:val="24"/>
        </w:rPr>
        <w:t>classification </w:t>
      </w:r>
      <w:r w:rsidR="00AD76C9" w:rsidRPr="00AF41CC">
        <w:rPr>
          <w:rFonts w:ascii="Times New Roman" w:hAnsi="Times New Roman" w:cs="Times New Roman"/>
          <w:sz w:val="24"/>
          <w:szCs w:val="24"/>
        </w:rPr>
        <w:t xml:space="preserve">des deux énergies </w:t>
      </w:r>
      <w:r w:rsidR="002B1AF6" w:rsidRPr="00AF41CC">
        <w:rPr>
          <w:rFonts w:ascii="Times New Roman" w:hAnsi="Times New Roman" w:cs="Times New Roman"/>
          <w:sz w:val="24"/>
          <w:szCs w:val="24"/>
        </w:rPr>
        <w:t>: la France, grande productrice d’énergie nucléaire</w:t>
      </w:r>
      <w:r w:rsidR="00095986" w:rsidRPr="00AF41CC">
        <w:rPr>
          <w:rFonts w:ascii="Times New Roman" w:hAnsi="Times New Roman" w:cs="Times New Roman"/>
          <w:sz w:val="24"/>
          <w:szCs w:val="24"/>
        </w:rPr>
        <w:t xml:space="preserve"> qui entend le rester dans les décennies à venir</w:t>
      </w:r>
      <w:r w:rsidR="008A7FA2" w:rsidRPr="00AF41CC">
        <w:rPr>
          <w:rFonts w:ascii="Times New Roman" w:hAnsi="Times New Roman" w:cs="Times New Roman"/>
          <w:sz w:val="24"/>
          <w:szCs w:val="24"/>
        </w:rPr>
        <w:t xml:space="preserve"> et qui a mené un intense lobbying</w:t>
      </w:r>
      <w:r w:rsidR="00E85BE3" w:rsidRPr="00AF41CC">
        <w:rPr>
          <w:rFonts w:ascii="Times New Roman" w:hAnsi="Times New Roman" w:cs="Times New Roman"/>
          <w:sz w:val="24"/>
          <w:szCs w:val="24"/>
        </w:rPr>
        <w:t xml:space="preserve"> en faveur</w:t>
      </w:r>
      <w:r w:rsidR="00AD76C9" w:rsidRPr="00AF41CC">
        <w:rPr>
          <w:rFonts w:ascii="Times New Roman" w:hAnsi="Times New Roman" w:cs="Times New Roman"/>
          <w:sz w:val="24"/>
          <w:szCs w:val="24"/>
        </w:rPr>
        <w:t xml:space="preserve"> de cette classification</w:t>
      </w:r>
      <w:r w:rsidR="008A7FA2" w:rsidRPr="00AF41CC">
        <w:rPr>
          <w:rFonts w:ascii="Times New Roman" w:hAnsi="Times New Roman" w:cs="Times New Roman"/>
          <w:sz w:val="24"/>
          <w:szCs w:val="24"/>
        </w:rPr>
        <w:t>,</w:t>
      </w:r>
      <w:r w:rsidR="002B1AF6" w:rsidRPr="00AF41CC">
        <w:rPr>
          <w:rFonts w:ascii="Times New Roman" w:hAnsi="Times New Roman" w:cs="Times New Roman"/>
          <w:sz w:val="24"/>
          <w:szCs w:val="24"/>
        </w:rPr>
        <w:t xml:space="preserve"> et l’Allemagne, </w:t>
      </w:r>
      <w:r w:rsidR="00095986" w:rsidRPr="00AF41CC">
        <w:rPr>
          <w:rFonts w:ascii="Times New Roman" w:hAnsi="Times New Roman" w:cs="Times New Roman"/>
          <w:sz w:val="24"/>
          <w:szCs w:val="24"/>
        </w:rPr>
        <w:t>qui veut accroître sa production</w:t>
      </w:r>
      <w:r w:rsidR="002B1AF6" w:rsidRPr="00AF41CC">
        <w:rPr>
          <w:rFonts w:ascii="Times New Roman" w:hAnsi="Times New Roman" w:cs="Times New Roman"/>
          <w:sz w:val="24"/>
          <w:szCs w:val="24"/>
        </w:rPr>
        <w:t xml:space="preserve"> de gaz</w:t>
      </w:r>
      <w:r w:rsidR="00095986" w:rsidRPr="00AF41CC">
        <w:rPr>
          <w:rFonts w:ascii="Times New Roman" w:hAnsi="Times New Roman" w:cs="Times New Roman"/>
          <w:sz w:val="24"/>
          <w:szCs w:val="24"/>
        </w:rPr>
        <w:t xml:space="preserve"> pour réduire sa dépendance à l’égard de la Russie</w:t>
      </w:r>
      <w:r w:rsidR="002B1AF6" w:rsidRPr="00AF41CC">
        <w:rPr>
          <w:rFonts w:ascii="Times New Roman" w:hAnsi="Times New Roman" w:cs="Times New Roman"/>
          <w:sz w:val="24"/>
          <w:szCs w:val="24"/>
        </w:rPr>
        <w:t>.</w:t>
      </w:r>
      <w:r w:rsidR="00095986" w:rsidRPr="00AF41CC">
        <w:rPr>
          <w:rFonts w:ascii="Times New Roman" w:hAnsi="Times New Roman" w:cs="Times New Roman"/>
          <w:sz w:val="24"/>
          <w:szCs w:val="24"/>
        </w:rPr>
        <w:t xml:space="preserve"> </w:t>
      </w:r>
      <w:r w:rsidR="005879D7" w:rsidRPr="00AF41CC">
        <w:rPr>
          <w:rFonts w:ascii="Times New Roman" w:hAnsi="Times New Roman" w:cs="Times New Roman"/>
          <w:sz w:val="24"/>
          <w:szCs w:val="24"/>
        </w:rPr>
        <w:t xml:space="preserve">La France, qui est le seul pays de l’UE à ne compter aucune éolienne offshore en service, y voit l’occasion rêvée de vanter </w:t>
      </w:r>
      <w:r w:rsidR="00BA080C" w:rsidRPr="00AF41CC">
        <w:rPr>
          <w:rFonts w:ascii="Times New Roman" w:hAnsi="Times New Roman" w:cs="Times New Roman"/>
          <w:sz w:val="24"/>
          <w:szCs w:val="24"/>
        </w:rPr>
        <w:t xml:space="preserve">dans </w:t>
      </w:r>
      <w:r w:rsidR="005879D7" w:rsidRPr="00AF41CC">
        <w:rPr>
          <w:rFonts w:ascii="Times New Roman" w:hAnsi="Times New Roman" w:cs="Times New Roman"/>
          <w:sz w:val="24"/>
          <w:szCs w:val="24"/>
        </w:rPr>
        <w:t xml:space="preserve">l’énergie nucléaire </w:t>
      </w:r>
      <w:r w:rsidR="00BA080C" w:rsidRPr="00AF41CC">
        <w:rPr>
          <w:rFonts w:ascii="Times New Roman" w:hAnsi="Times New Roman" w:cs="Times New Roman"/>
          <w:sz w:val="24"/>
          <w:szCs w:val="24"/>
        </w:rPr>
        <w:t>l’</w:t>
      </w:r>
      <w:r w:rsidR="005879D7" w:rsidRPr="00AF41CC">
        <w:rPr>
          <w:rFonts w:ascii="Times New Roman" w:hAnsi="Times New Roman" w:cs="Times New Roman"/>
          <w:sz w:val="24"/>
          <w:szCs w:val="24"/>
        </w:rPr>
        <w:t>énergie « </w:t>
      </w:r>
      <w:r w:rsidR="00BA080C" w:rsidRPr="00AF41CC">
        <w:rPr>
          <w:rFonts w:ascii="Times New Roman" w:hAnsi="Times New Roman" w:cs="Times New Roman"/>
          <w:sz w:val="24"/>
          <w:szCs w:val="24"/>
        </w:rPr>
        <w:t xml:space="preserve">la plus </w:t>
      </w:r>
      <w:r w:rsidR="005879D7" w:rsidRPr="00AF41CC">
        <w:rPr>
          <w:rFonts w:ascii="Times New Roman" w:hAnsi="Times New Roman" w:cs="Times New Roman"/>
          <w:sz w:val="24"/>
          <w:szCs w:val="24"/>
        </w:rPr>
        <w:t xml:space="preserve">décarbonée et la </w:t>
      </w:r>
      <w:r w:rsidR="00BA080C" w:rsidRPr="00AF41CC">
        <w:rPr>
          <w:rFonts w:ascii="Times New Roman" w:hAnsi="Times New Roman" w:cs="Times New Roman"/>
          <w:sz w:val="24"/>
          <w:szCs w:val="24"/>
        </w:rPr>
        <w:t xml:space="preserve">plus </w:t>
      </w:r>
      <w:r w:rsidR="005879D7" w:rsidRPr="00AF41CC">
        <w:rPr>
          <w:rFonts w:ascii="Times New Roman" w:hAnsi="Times New Roman" w:cs="Times New Roman"/>
          <w:sz w:val="24"/>
          <w:szCs w:val="24"/>
        </w:rPr>
        <w:t>souveraine », selon les mots de Macron</w:t>
      </w:r>
      <w:r w:rsidR="00BA080C" w:rsidRPr="00AF41CC">
        <w:rPr>
          <w:rFonts w:ascii="Times New Roman" w:hAnsi="Times New Roman" w:cs="Times New Roman"/>
          <w:sz w:val="24"/>
          <w:szCs w:val="24"/>
        </w:rPr>
        <w:t>.</w:t>
      </w:r>
      <w:r w:rsidR="005879D7" w:rsidRPr="00AF41CC">
        <w:rPr>
          <w:rFonts w:ascii="Times New Roman" w:hAnsi="Times New Roman" w:cs="Times New Roman"/>
          <w:sz w:val="24"/>
          <w:szCs w:val="24"/>
        </w:rPr>
        <w:t xml:space="preserve"> </w:t>
      </w:r>
      <w:r w:rsidR="00095986" w:rsidRPr="00AF41CC">
        <w:rPr>
          <w:rFonts w:ascii="Times New Roman" w:hAnsi="Times New Roman" w:cs="Times New Roman"/>
          <w:sz w:val="24"/>
          <w:szCs w:val="24"/>
        </w:rPr>
        <w:t xml:space="preserve">L’enjeu est </w:t>
      </w:r>
      <w:r w:rsidR="005879D7" w:rsidRPr="00AF41CC">
        <w:rPr>
          <w:rFonts w:ascii="Times New Roman" w:hAnsi="Times New Roman" w:cs="Times New Roman"/>
          <w:sz w:val="24"/>
          <w:szCs w:val="24"/>
        </w:rPr>
        <w:t xml:space="preserve">également </w:t>
      </w:r>
      <w:r w:rsidR="00095986" w:rsidRPr="00AF41CC">
        <w:rPr>
          <w:rFonts w:ascii="Times New Roman" w:hAnsi="Times New Roman" w:cs="Times New Roman"/>
          <w:sz w:val="24"/>
          <w:szCs w:val="24"/>
        </w:rPr>
        <w:t>considérable pour l’Allemagne puisqu’en 2021 elle comptait 42</w:t>
      </w:r>
      <w:r w:rsidR="003C2EEA" w:rsidRPr="00AF41CC">
        <w:rPr>
          <w:rFonts w:ascii="Times New Roman" w:hAnsi="Times New Roman" w:cs="Times New Roman"/>
          <w:sz w:val="24"/>
          <w:szCs w:val="24"/>
        </w:rPr>
        <w:t>% d’énergies renouvelables et 27% de charbon, ce qui fait du charbon la première source d’énergie</w:t>
      </w:r>
      <w:r w:rsidR="006A0208" w:rsidRPr="00AF41CC">
        <w:rPr>
          <w:rFonts w:ascii="Times New Roman" w:hAnsi="Times New Roman" w:cs="Times New Roman"/>
          <w:sz w:val="24"/>
          <w:szCs w:val="24"/>
        </w:rPr>
        <w:t> </w:t>
      </w:r>
      <w:r w:rsidR="006961C9" w:rsidRPr="00AF41CC">
        <w:rPr>
          <w:rFonts w:ascii="Times New Roman" w:hAnsi="Times New Roman" w:cs="Times New Roman"/>
          <w:sz w:val="24"/>
          <w:szCs w:val="24"/>
        </w:rPr>
        <w:t>non renouvelable</w:t>
      </w:r>
      <w:r w:rsidR="006A0208" w:rsidRPr="00AF41CC">
        <w:rPr>
          <w:rFonts w:ascii="Times New Roman" w:hAnsi="Times New Roman" w:cs="Times New Roman"/>
          <w:sz w:val="24"/>
          <w:szCs w:val="24"/>
        </w:rPr>
        <w:t xml:space="preserve"> </w:t>
      </w:r>
      <w:r w:rsidR="00746747" w:rsidRPr="00AF41CC">
        <w:rPr>
          <w:rStyle w:val="Appelnotedebasdep"/>
          <w:rFonts w:ascii="Times New Roman" w:hAnsi="Times New Roman" w:cs="Times New Roman"/>
          <w:sz w:val="24"/>
          <w:szCs w:val="24"/>
        </w:rPr>
        <w:footnoteReference w:id="14"/>
      </w:r>
      <w:r w:rsidR="00124873" w:rsidRPr="00AF41CC">
        <w:rPr>
          <w:rFonts w:ascii="Times New Roman" w:hAnsi="Times New Roman" w:cs="Times New Roman"/>
          <w:sz w:val="24"/>
          <w:szCs w:val="24"/>
        </w:rPr>
        <w:t xml:space="preserve">. </w:t>
      </w:r>
      <w:r w:rsidR="00746747" w:rsidRPr="00AF41CC">
        <w:rPr>
          <w:rFonts w:ascii="Times New Roman" w:hAnsi="Times New Roman" w:cs="Times New Roman"/>
          <w:sz w:val="24"/>
          <w:szCs w:val="24"/>
        </w:rPr>
        <w:t xml:space="preserve">Quand on sait que le nouveau gouvernement allemand </w:t>
      </w:r>
      <w:r w:rsidR="00C131BE" w:rsidRPr="00AF41CC">
        <w:rPr>
          <w:rFonts w:ascii="Times New Roman" w:hAnsi="Times New Roman" w:cs="Times New Roman"/>
          <w:sz w:val="24"/>
          <w:szCs w:val="24"/>
        </w:rPr>
        <w:t xml:space="preserve">s’est fixé l’objectif d’une sortie du charbon pour 2030, on mesure mieux le défi à relever. </w:t>
      </w:r>
      <w:r w:rsidR="00DB468D" w:rsidRPr="00AF41CC">
        <w:rPr>
          <w:rFonts w:ascii="Times New Roman" w:hAnsi="Times New Roman" w:cs="Times New Roman"/>
          <w:sz w:val="24"/>
          <w:szCs w:val="24"/>
        </w:rPr>
        <w:t xml:space="preserve">Parmi les scénarios examinés par l’UE, il en est un qui prévoit 100% d’énergies renouvelables en 2040. Le </w:t>
      </w:r>
      <w:r w:rsidR="00AD76C9" w:rsidRPr="00AF41CC">
        <w:rPr>
          <w:rFonts w:ascii="Times New Roman" w:hAnsi="Times New Roman" w:cs="Times New Roman"/>
          <w:sz w:val="24"/>
          <w:szCs w:val="24"/>
        </w:rPr>
        <w:t>choix</w:t>
      </w:r>
      <w:r w:rsidR="00DB468D" w:rsidRPr="00AF41CC">
        <w:rPr>
          <w:rFonts w:ascii="Times New Roman" w:hAnsi="Times New Roman" w:cs="Times New Roman"/>
          <w:sz w:val="24"/>
          <w:szCs w:val="24"/>
        </w:rPr>
        <w:t xml:space="preserve"> de la CE lui tourne résolument le dos. Nous avons affaire à un </w:t>
      </w:r>
      <w:r w:rsidR="00E85BE3" w:rsidRPr="00AF41CC">
        <w:rPr>
          <w:rFonts w:ascii="Times New Roman" w:hAnsi="Times New Roman" w:cs="Times New Roman"/>
          <w:sz w:val="24"/>
          <w:szCs w:val="24"/>
        </w:rPr>
        <w:t xml:space="preserve">pur et simple </w:t>
      </w:r>
      <w:r w:rsidR="00DB468D" w:rsidRPr="00AF41CC">
        <w:rPr>
          <w:rFonts w:ascii="Times New Roman" w:hAnsi="Times New Roman" w:cs="Times New Roman"/>
          <w:sz w:val="24"/>
          <w:szCs w:val="24"/>
        </w:rPr>
        <w:t xml:space="preserve">marchandage </w:t>
      </w:r>
      <w:r w:rsidR="00DB468D" w:rsidRPr="00AF41CC">
        <w:rPr>
          <w:rFonts w:ascii="Times New Roman" w:hAnsi="Times New Roman" w:cs="Times New Roman"/>
          <w:i/>
          <w:iCs/>
          <w:sz w:val="24"/>
          <w:szCs w:val="24"/>
        </w:rPr>
        <w:t>interétatique</w:t>
      </w:r>
      <w:r w:rsidR="00E85BE3" w:rsidRPr="00AF41CC">
        <w:rPr>
          <w:rFonts w:ascii="Times New Roman" w:hAnsi="Times New Roman" w:cs="Times New Roman"/>
          <w:sz w:val="24"/>
          <w:szCs w:val="24"/>
        </w:rPr>
        <w:t> qui reçoit l’aval de la CE</w:t>
      </w:r>
      <w:r w:rsidR="00AD76C9" w:rsidRPr="00AF41CC">
        <w:rPr>
          <w:rFonts w:ascii="Times New Roman" w:hAnsi="Times New Roman" w:cs="Times New Roman"/>
          <w:sz w:val="24"/>
          <w:szCs w:val="24"/>
        </w:rPr>
        <w:t>, censée être la gardienne de l’</w:t>
      </w:r>
      <w:r w:rsidR="000777F0" w:rsidRPr="00AF41CC">
        <w:rPr>
          <w:rFonts w:ascii="Times New Roman" w:hAnsi="Times New Roman" w:cs="Times New Roman"/>
          <w:sz w:val="24"/>
          <w:szCs w:val="24"/>
        </w:rPr>
        <w:t>« i</w:t>
      </w:r>
      <w:r w:rsidR="00AD76C9" w:rsidRPr="00AF41CC">
        <w:rPr>
          <w:rFonts w:ascii="Times New Roman" w:hAnsi="Times New Roman" w:cs="Times New Roman"/>
          <w:sz w:val="24"/>
          <w:szCs w:val="24"/>
        </w:rPr>
        <w:t xml:space="preserve">ntérêt </w:t>
      </w:r>
      <w:r w:rsidR="00AD76C9" w:rsidRPr="00AF41CC">
        <w:rPr>
          <w:rFonts w:ascii="Times New Roman" w:hAnsi="Times New Roman" w:cs="Times New Roman"/>
          <w:sz w:val="24"/>
          <w:szCs w:val="24"/>
        </w:rPr>
        <w:lastRenderedPageBreak/>
        <w:t>général</w:t>
      </w:r>
      <w:r w:rsidR="000777F0" w:rsidRPr="00AF41CC">
        <w:rPr>
          <w:rFonts w:ascii="Times New Roman" w:hAnsi="Times New Roman" w:cs="Times New Roman"/>
          <w:sz w:val="24"/>
          <w:szCs w:val="24"/>
        </w:rPr>
        <w:t xml:space="preserve"> » </w:t>
      </w:r>
      <w:r w:rsidR="00AD76C9" w:rsidRPr="00AF41CC">
        <w:rPr>
          <w:rFonts w:ascii="Times New Roman" w:hAnsi="Times New Roman" w:cs="Times New Roman"/>
          <w:sz w:val="24"/>
          <w:szCs w:val="24"/>
        </w:rPr>
        <w:t>de l’Europe</w:t>
      </w:r>
      <w:r w:rsidR="00E85BE3" w:rsidRPr="00AF41CC">
        <w:rPr>
          <w:rFonts w:ascii="Times New Roman" w:hAnsi="Times New Roman" w:cs="Times New Roman"/>
          <w:sz w:val="24"/>
          <w:szCs w:val="24"/>
        </w:rPr>
        <w:t xml:space="preserve"> : la France cède à l’Allemagne sur le gaz, en échange l’Allemagne cède à la France sur le nucléaire. </w:t>
      </w:r>
      <w:r w:rsidR="000777F0" w:rsidRPr="00AF41CC">
        <w:rPr>
          <w:rFonts w:ascii="Times New Roman" w:hAnsi="Times New Roman" w:cs="Times New Roman"/>
          <w:sz w:val="24"/>
          <w:szCs w:val="24"/>
        </w:rPr>
        <w:t xml:space="preserve">Ce sont donc les </w:t>
      </w:r>
      <w:r w:rsidR="00AD76C9" w:rsidRPr="00AF41CC">
        <w:rPr>
          <w:rFonts w:ascii="Times New Roman" w:hAnsi="Times New Roman" w:cs="Times New Roman"/>
          <w:sz w:val="24"/>
          <w:szCs w:val="24"/>
        </w:rPr>
        <w:t>« </w:t>
      </w:r>
      <w:r w:rsidR="00E85BE3" w:rsidRPr="00AF41CC">
        <w:rPr>
          <w:rFonts w:ascii="Times New Roman" w:hAnsi="Times New Roman" w:cs="Times New Roman"/>
          <w:sz w:val="24"/>
          <w:szCs w:val="24"/>
        </w:rPr>
        <w:t>intérêts nationaux</w:t>
      </w:r>
      <w:r w:rsidR="00AD76C9" w:rsidRPr="00AF41CC">
        <w:rPr>
          <w:rFonts w:ascii="Times New Roman" w:hAnsi="Times New Roman" w:cs="Times New Roman"/>
          <w:sz w:val="24"/>
          <w:szCs w:val="24"/>
        </w:rPr>
        <w:t> »</w:t>
      </w:r>
      <w:r w:rsidR="00E85BE3" w:rsidRPr="00AF41CC">
        <w:rPr>
          <w:rFonts w:ascii="Times New Roman" w:hAnsi="Times New Roman" w:cs="Times New Roman"/>
          <w:sz w:val="24"/>
          <w:szCs w:val="24"/>
        </w:rPr>
        <w:t>, au sens le plus étroit et mesquin du terme,</w:t>
      </w:r>
      <w:r w:rsidR="00903C57" w:rsidRPr="00AF41CC">
        <w:rPr>
          <w:rFonts w:ascii="Times New Roman" w:hAnsi="Times New Roman" w:cs="Times New Roman"/>
          <w:sz w:val="24"/>
          <w:szCs w:val="24"/>
        </w:rPr>
        <w:t xml:space="preserve"> </w:t>
      </w:r>
      <w:r w:rsidR="000777F0" w:rsidRPr="00AF41CC">
        <w:rPr>
          <w:rFonts w:ascii="Times New Roman" w:hAnsi="Times New Roman" w:cs="Times New Roman"/>
          <w:sz w:val="24"/>
          <w:szCs w:val="24"/>
        </w:rPr>
        <w:t>qui sont consacrés</w:t>
      </w:r>
      <w:r w:rsidR="00903C57" w:rsidRPr="00AF41CC">
        <w:rPr>
          <w:rFonts w:ascii="Times New Roman" w:hAnsi="Times New Roman" w:cs="Times New Roman"/>
          <w:sz w:val="24"/>
          <w:szCs w:val="24"/>
        </w:rPr>
        <w:t xml:space="preserve"> par la « taxonomie verte »</w:t>
      </w:r>
      <w:r w:rsidR="000777F0" w:rsidRPr="00AF41CC">
        <w:rPr>
          <w:rFonts w:ascii="Times New Roman" w:hAnsi="Times New Roman" w:cs="Times New Roman"/>
          <w:sz w:val="24"/>
          <w:szCs w:val="24"/>
        </w:rPr>
        <w:t>. En fait de « souveraineté européenne »</w:t>
      </w:r>
      <w:r w:rsidR="00903C57" w:rsidRPr="00AF41CC">
        <w:rPr>
          <w:rFonts w:ascii="Times New Roman" w:hAnsi="Times New Roman" w:cs="Times New Roman"/>
          <w:sz w:val="24"/>
          <w:szCs w:val="24"/>
        </w:rPr>
        <w:t xml:space="preserve"> en matière d’énergie</w:t>
      </w:r>
      <w:r w:rsidR="000777F0" w:rsidRPr="00AF41CC">
        <w:rPr>
          <w:rFonts w:ascii="Times New Roman" w:hAnsi="Times New Roman" w:cs="Times New Roman"/>
          <w:sz w:val="24"/>
          <w:szCs w:val="24"/>
        </w:rPr>
        <w:t>, on</w:t>
      </w:r>
      <w:r w:rsidR="00903C57" w:rsidRPr="00AF41CC">
        <w:rPr>
          <w:rFonts w:ascii="Times New Roman" w:hAnsi="Times New Roman" w:cs="Times New Roman"/>
          <w:sz w:val="24"/>
          <w:szCs w:val="24"/>
        </w:rPr>
        <w:t xml:space="preserve"> </w:t>
      </w:r>
      <w:r w:rsidR="00C07E65" w:rsidRPr="00AF41CC">
        <w:rPr>
          <w:rFonts w:ascii="Times New Roman" w:hAnsi="Times New Roman" w:cs="Times New Roman"/>
          <w:sz w:val="24"/>
          <w:szCs w:val="24"/>
        </w:rPr>
        <w:t>a</w:t>
      </w:r>
      <w:r w:rsidR="000777F0" w:rsidRPr="00AF41CC">
        <w:rPr>
          <w:rFonts w:ascii="Times New Roman" w:hAnsi="Times New Roman" w:cs="Times New Roman"/>
          <w:sz w:val="24"/>
          <w:szCs w:val="24"/>
        </w:rPr>
        <w:t xml:space="preserve"> </w:t>
      </w:r>
      <w:r w:rsidR="00903C57" w:rsidRPr="00AF41CC">
        <w:rPr>
          <w:rFonts w:ascii="Times New Roman" w:hAnsi="Times New Roman" w:cs="Times New Roman"/>
          <w:sz w:val="24"/>
          <w:szCs w:val="24"/>
        </w:rPr>
        <w:t xml:space="preserve">en réalité </w:t>
      </w:r>
      <w:r w:rsidR="00C07E65" w:rsidRPr="00AF41CC">
        <w:rPr>
          <w:rFonts w:ascii="Times New Roman" w:hAnsi="Times New Roman" w:cs="Times New Roman"/>
          <w:sz w:val="24"/>
          <w:szCs w:val="24"/>
        </w:rPr>
        <w:t xml:space="preserve">un deal sordide </w:t>
      </w:r>
      <w:r w:rsidR="00903C57" w:rsidRPr="00AF41CC">
        <w:rPr>
          <w:rFonts w:ascii="Times New Roman" w:hAnsi="Times New Roman" w:cs="Times New Roman"/>
          <w:sz w:val="24"/>
          <w:szCs w:val="24"/>
        </w:rPr>
        <w:t>qui r</w:t>
      </w:r>
      <w:r w:rsidR="00C07E65" w:rsidRPr="00AF41CC">
        <w:rPr>
          <w:rFonts w:ascii="Times New Roman" w:hAnsi="Times New Roman" w:cs="Times New Roman"/>
          <w:sz w:val="24"/>
          <w:szCs w:val="24"/>
        </w:rPr>
        <w:t>evient</w:t>
      </w:r>
      <w:r w:rsidR="00903C57" w:rsidRPr="00AF41CC">
        <w:rPr>
          <w:rFonts w:ascii="Times New Roman" w:hAnsi="Times New Roman" w:cs="Times New Roman"/>
          <w:sz w:val="24"/>
          <w:szCs w:val="24"/>
        </w:rPr>
        <w:t xml:space="preserve"> à sacrifier </w:t>
      </w:r>
      <w:r w:rsidR="00C07E65" w:rsidRPr="00AF41CC">
        <w:rPr>
          <w:rFonts w:ascii="Times New Roman" w:hAnsi="Times New Roman" w:cs="Times New Roman"/>
          <w:sz w:val="24"/>
          <w:szCs w:val="24"/>
        </w:rPr>
        <w:t>l’écologie sur l’autel des</w:t>
      </w:r>
      <w:r w:rsidR="00C356F2" w:rsidRPr="00AF41CC">
        <w:rPr>
          <w:rFonts w:ascii="Times New Roman" w:hAnsi="Times New Roman" w:cs="Times New Roman"/>
          <w:sz w:val="24"/>
          <w:szCs w:val="24"/>
        </w:rPr>
        <w:t xml:space="preserve"> pires</w:t>
      </w:r>
      <w:r w:rsidR="00C07E65" w:rsidRPr="00AF41CC">
        <w:rPr>
          <w:rFonts w:ascii="Times New Roman" w:hAnsi="Times New Roman" w:cs="Times New Roman"/>
          <w:sz w:val="24"/>
          <w:szCs w:val="24"/>
        </w:rPr>
        <w:t xml:space="preserve"> intérêts de </w:t>
      </w:r>
      <w:r w:rsidR="00C07E65" w:rsidRPr="00AF41CC">
        <w:rPr>
          <w:rFonts w:ascii="Times New Roman" w:hAnsi="Times New Roman" w:cs="Times New Roman"/>
          <w:i/>
          <w:iCs/>
          <w:sz w:val="24"/>
          <w:szCs w:val="24"/>
        </w:rPr>
        <w:t>puissance</w:t>
      </w:r>
      <w:r w:rsidR="00C07E65" w:rsidRPr="00AF41CC">
        <w:rPr>
          <w:rFonts w:ascii="Times New Roman" w:hAnsi="Times New Roman" w:cs="Times New Roman"/>
          <w:sz w:val="24"/>
          <w:szCs w:val="24"/>
        </w:rPr>
        <w:t xml:space="preserve"> : les conséquences à long terme de l’enfouissement </w:t>
      </w:r>
      <w:r w:rsidR="00B65F32" w:rsidRPr="00AF41CC">
        <w:rPr>
          <w:rFonts w:ascii="Times New Roman" w:hAnsi="Times New Roman" w:cs="Times New Roman"/>
          <w:sz w:val="24"/>
          <w:szCs w:val="24"/>
        </w:rPr>
        <w:t>pendant plus d’un siècle de</w:t>
      </w:r>
      <w:r w:rsidR="00C07E65" w:rsidRPr="00AF41CC">
        <w:rPr>
          <w:rFonts w:ascii="Times New Roman" w:hAnsi="Times New Roman" w:cs="Times New Roman"/>
          <w:sz w:val="24"/>
          <w:szCs w:val="24"/>
        </w:rPr>
        <w:t xml:space="preserve"> déchets</w:t>
      </w:r>
      <w:r w:rsidR="00115CF1" w:rsidRPr="00AF41CC">
        <w:rPr>
          <w:rFonts w:ascii="Times New Roman" w:hAnsi="Times New Roman" w:cs="Times New Roman"/>
          <w:sz w:val="24"/>
          <w:szCs w:val="24"/>
        </w:rPr>
        <w:t xml:space="preserve"> </w:t>
      </w:r>
      <w:r w:rsidR="00D9206F" w:rsidRPr="00AF41CC">
        <w:rPr>
          <w:rFonts w:ascii="Times New Roman" w:hAnsi="Times New Roman" w:cs="Times New Roman"/>
          <w:sz w:val="24"/>
          <w:szCs w:val="24"/>
        </w:rPr>
        <w:t xml:space="preserve">nucléaires </w:t>
      </w:r>
      <w:r w:rsidR="008A7898" w:rsidRPr="00AF41CC">
        <w:rPr>
          <w:rFonts w:ascii="Times New Roman" w:hAnsi="Times New Roman" w:cs="Times New Roman"/>
          <w:sz w:val="24"/>
          <w:szCs w:val="24"/>
        </w:rPr>
        <w:t>(</w:t>
      </w:r>
      <w:r w:rsidR="00B65F32" w:rsidRPr="00AF41CC">
        <w:rPr>
          <w:rFonts w:ascii="Times New Roman" w:hAnsi="Times New Roman" w:cs="Times New Roman"/>
          <w:sz w:val="24"/>
          <w:szCs w:val="24"/>
        </w:rPr>
        <w:t xml:space="preserve">dont la dangerosité est estimée à </w:t>
      </w:r>
      <w:r w:rsidR="009B779D" w:rsidRPr="00AF41CC">
        <w:rPr>
          <w:rFonts w:ascii="Times New Roman" w:hAnsi="Times New Roman" w:cs="Times New Roman"/>
          <w:sz w:val="24"/>
          <w:szCs w:val="24"/>
        </w:rPr>
        <w:t xml:space="preserve">100 000 ans </w:t>
      </w:r>
      <w:r w:rsidR="008A7898" w:rsidRPr="00AF41CC">
        <w:rPr>
          <w:rFonts w:ascii="Times New Roman" w:hAnsi="Times New Roman" w:cs="Times New Roman"/>
          <w:sz w:val="24"/>
          <w:szCs w:val="24"/>
        </w:rPr>
        <w:t>dans le cas du</w:t>
      </w:r>
      <w:r w:rsidR="00D9206F" w:rsidRPr="00AF41CC">
        <w:rPr>
          <w:rFonts w:ascii="Times New Roman" w:hAnsi="Times New Roman" w:cs="Times New Roman"/>
          <w:sz w:val="24"/>
          <w:szCs w:val="24"/>
        </w:rPr>
        <w:t xml:space="preserve"> site de Bure dans la Meuse</w:t>
      </w:r>
      <w:r w:rsidR="003D4FAE" w:rsidRPr="00AF41CC">
        <w:rPr>
          <w:rFonts w:ascii="Times New Roman" w:hAnsi="Times New Roman" w:cs="Times New Roman"/>
          <w:sz w:val="24"/>
          <w:szCs w:val="24"/>
        </w:rPr>
        <w:t> !</w:t>
      </w:r>
      <w:r w:rsidR="008A7898" w:rsidRPr="00AF41CC">
        <w:rPr>
          <w:rFonts w:ascii="Times New Roman" w:hAnsi="Times New Roman" w:cs="Times New Roman"/>
          <w:sz w:val="24"/>
          <w:szCs w:val="24"/>
        </w:rPr>
        <w:t>) sont tout simplement ignorées</w:t>
      </w:r>
      <w:r w:rsidR="00D9206F" w:rsidRPr="00AF41CC">
        <w:rPr>
          <w:rFonts w:ascii="Times New Roman" w:hAnsi="Times New Roman" w:cs="Times New Roman"/>
          <w:sz w:val="24"/>
          <w:szCs w:val="24"/>
        </w:rPr>
        <w:t xml:space="preserve"> </w:t>
      </w:r>
      <w:r w:rsidR="00115CF1" w:rsidRPr="00AF41CC">
        <w:rPr>
          <w:rFonts w:ascii="Times New Roman" w:hAnsi="Times New Roman" w:cs="Times New Roman"/>
          <w:sz w:val="24"/>
          <w:szCs w:val="24"/>
        </w:rPr>
        <w:t xml:space="preserve">et les émissions </w:t>
      </w:r>
      <w:r w:rsidR="00D9206F" w:rsidRPr="00AF41CC">
        <w:rPr>
          <w:rFonts w:ascii="Times New Roman" w:hAnsi="Times New Roman" w:cs="Times New Roman"/>
          <w:sz w:val="24"/>
          <w:szCs w:val="24"/>
        </w:rPr>
        <w:t xml:space="preserve">de gaz à effet de serre </w:t>
      </w:r>
      <w:r w:rsidR="008A7898" w:rsidRPr="00AF41CC">
        <w:rPr>
          <w:rFonts w:ascii="Times New Roman" w:hAnsi="Times New Roman" w:cs="Times New Roman"/>
          <w:sz w:val="24"/>
          <w:szCs w:val="24"/>
        </w:rPr>
        <w:t xml:space="preserve">générées par l’extraction du gaz </w:t>
      </w:r>
      <w:r w:rsidR="00F20DCE" w:rsidRPr="00AF41CC">
        <w:rPr>
          <w:rFonts w:ascii="Times New Roman" w:hAnsi="Times New Roman" w:cs="Times New Roman"/>
          <w:sz w:val="24"/>
          <w:szCs w:val="24"/>
        </w:rPr>
        <w:t xml:space="preserve">fossile </w:t>
      </w:r>
      <w:r w:rsidR="008A7898" w:rsidRPr="00AF41CC">
        <w:rPr>
          <w:rFonts w:ascii="Times New Roman" w:hAnsi="Times New Roman" w:cs="Times New Roman"/>
          <w:sz w:val="24"/>
          <w:szCs w:val="24"/>
        </w:rPr>
        <w:t xml:space="preserve">sont tout autant tenues pour quantité négligeable. </w:t>
      </w:r>
    </w:p>
    <w:p w14:paraId="7BADF117" w14:textId="24C07000" w:rsidR="00F77AB7" w:rsidRPr="00AF41CC" w:rsidRDefault="008A7898" w:rsidP="005D3353">
      <w:pPr>
        <w:spacing w:line="360" w:lineRule="auto"/>
        <w:jc w:val="both"/>
        <w:rPr>
          <w:rFonts w:ascii="Times New Roman" w:hAnsi="Times New Roman" w:cs="Times New Roman"/>
          <w:sz w:val="24"/>
          <w:szCs w:val="24"/>
        </w:rPr>
      </w:pPr>
      <w:r w:rsidRPr="00AF41CC">
        <w:rPr>
          <w:rFonts w:ascii="Times New Roman" w:hAnsi="Times New Roman" w:cs="Times New Roman"/>
          <w:sz w:val="24"/>
          <w:szCs w:val="24"/>
        </w:rPr>
        <w:t xml:space="preserve">Quelle est la raison d’un </w:t>
      </w:r>
      <w:r w:rsidR="00757C6C" w:rsidRPr="00AF41CC">
        <w:rPr>
          <w:rFonts w:ascii="Times New Roman" w:hAnsi="Times New Roman" w:cs="Times New Roman"/>
          <w:sz w:val="24"/>
          <w:szCs w:val="24"/>
        </w:rPr>
        <w:t xml:space="preserve">lobbying aussi intense de la part de la France et de l’Allemagne ? </w:t>
      </w:r>
      <w:r w:rsidR="003D4FAE" w:rsidRPr="00AF41CC">
        <w:rPr>
          <w:rFonts w:ascii="Times New Roman" w:hAnsi="Times New Roman" w:cs="Times New Roman"/>
          <w:sz w:val="24"/>
          <w:szCs w:val="24"/>
        </w:rPr>
        <w:t xml:space="preserve">Le commissaire européen </w:t>
      </w:r>
      <w:r w:rsidR="00FD0FF8" w:rsidRPr="00AF41CC">
        <w:rPr>
          <w:rFonts w:ascii="Times New Roman" w:hAnsi="Times New Roman" w:cs="Times New Roman"/>
          <w:sz w:val="24"/>
          <w:szCs w:val="24"/>
        </w:rPr>
        <w:t xml:space="preserve">au marché intérieur, </w:t>
      </w:r>
      <w:r w:rsidR="003D4FAE" w:rsidRPr="00AF41CC">
        <w:rPr>
          <w:rFonts w:ascii="Times New Roman" w:hAnsi="Times New Roman" w:cs="Times New Roman"/>
          <w:sz w:val="24"/>
          <w:szCs w:val="24"/>
        </w:rPr>
        <w:t>Thierry Breton</w:t>
      </w:r>
      <w:r w:rsidR="00FD0FF8" w:rsidRPr="00AF41CC">
        <w:rPr>
          <w:rFonts w:ascii="Times New Roman" w:hAnsi="Times New Roman" w:cs="Times New Roman"/>
          <w:sz w:val="24"/>
          <w:szCs w:val="24"/>
        </w:rPr>
        <w:t>,</w:t>
      </w:r>
      <w:r w:rsidR="003D4FAE" w:rsidRPr="00AF41CC">
        <w:rPr>
          <w:rFonts w:ascii="Times New Roman" w:hAnsi="Times New Roman" w:cs="Times New Roman"/>
          <w:sz w:val="24"/>
          <w:szCs w:val="24"/>
        </w:rPr>
        <w:t xml:space="preserve"> a livré le fin mot de l’affaire dans un</w:t>
      </w:r>
      <w:r w:rsidR="00FD0FF8" w:rsidRPr="00AF41CC">
        <w:rPr>
          <w:rFonts w:ascii="Times New Roman" w:hAnsi="Times New Roman" w:cs="Times New Roman"/>
          <w:sz w:val="24"/>
          <w:szCs w:val="24"/>
        </w:rPr>
        <w:t xml:space="preserve"> entretien au </w:t>
      </w:r>
      <w:r w:rsidR="00FD0FF8" w:rsidRPr="00AF41CC">
        <w:rPr>
          <w:rFonts w:ascii="Times New Roman" w:hAnsi="Times New Roman" w:cs="Times New Roman"/>
          <w:i/>
          <w:iCs/>
          <w:sz w:val="24"/>
          <w:szCs w:val="24"/>
        </w:rPr>
        <w:t xml:space="preserve">Journal du dimanche </w:t>
      </w:r>
      <w:r w:rsidR="00FD0FF8" w:rsidRPr="00AF41CC">
        <w:rPr>
          <w:rFonts w:ascii="Times New Roman" w:hAnsi="Times New Roman" w:cs="Times New Roman"/>
          <w:sz w:val="24"/>
          <w:szCs w:val="24"/>
        </w:rPr>
        <w:t xml:space="preserve">en date du 9 janvier : il </w:t>
      </w:r>
      <w:r w:rsidR="001B78AD" w:rsidRPr="00AF41CC">
        <w:rPr>
          <w:rFonts w:ascii="Times New Roman" w:hAnsi="Times New Roman" w:cs="Times New Roman"/>
          <w:sz w:val="24"/>
          <w:szCs w:val="24"/>
        </w:rPr>
        <w:t xml:space="preserve">y déclare que les centrales nucléaires européennes de nouvelle génération nécessiteront un investissement de 500 milliards d’euros d’ici à 2050 et qu’il est crucial d’inclure le nucléaire </w:t>
      </w:r>
      <w:r w:rsidR="00192CD0" w:rsidRPr="00AF41CC">
        <w:rPr>
          <w:rFonts w:ascii="Times New Roman" w:hAnsi="Times New Roman" w:cs="Times New Roman"/>
          <w:sz w:val="24"/>
          <w:szCs w:val="24"/>
        </w:rPr>
        <w:t>dans la taxonomie « </w:t>
      </w:r>
      <w:r w:rsidR="001B78AD" w:rsidRPr="00AF41CC">
        <w:rPr>
          <w:rFonts w:ascii="Times New Roman" w:hAnsi="Times New Roman" w:cs="Times New Roman"/>
          <w:sz w:val="24"/>
          <w:szCs w:val="24"/>
        </w:rPr>
        <w:t xml:space="preserve">pour </w:t>
      </w:r>
      <w:r w:rsidR="00192CD0" w:rsidRPr="00AF41CC">
        <w:rPr>
          <w:rFonts w:ascii="Times New Roman" w:hAnsi="Times New Roman" w:cs="Times New Roman"/>
          <w:sz w:val="24"/>
          <w:szCs w:val="24"/>
        </w:rPr>
        <w:t xml:space="preserve">permettre à la filière d’attirer tous les capitaux dont elle aura besoin ». L’objectif poursuivi est parfaitement défini : il </w:t>
      </w:r>
      <w:r w:rsidR="00DF7FA7" w:rsidRPr="00AF41CC">
        <w:rPr>
          <w:rFonts w:ascii="Times New Roman" w:hAnsi="Times New Roman" w:cs="Times New Roman"/>
          <w:sz w:val="24"/>
          <w:szCs w:val="24"/>
        </w:rPr>
        <w:t xml:space="preserve">ne </w:t>
      </w:r>
      <w:r w:rsidR="00192CD0" w:rsidRPr="00AF41CC">
        <w:rPr>
          <w:rFonts w:ascii="Times New Roman" w:hAnsi="Times New Roman" w:cs="Times New Roman"/>
          <w:sz w:val="24"/>
          <w:szCs w:val="24"/>
        </w:rPr>
        <w:t xml:space="preserve">s’agit </w:t>
      </w:r>
      <w:r w:rsidR="00DF7FA7" w:rsidRPr="00AF41CC">
        <w:rPr>
          <w:rFonts w:ascii="Times New Roman" w:hAnsi="Times New Roman" w:cs="Times New Roman"/>
          <w:sz w:val="24"/>
          <w:szCs w:val="24"/>
        </w:rPr>
        <w:t xml:space="preserve">pas d’interdire les investissements dans les activités économiques non incluses dans la taxonomie, mais </w:t>
      </w:r>
      <w:r w:rsidR="00192CD0" w:rsidRPr="00AF41CC">
        <w:rPr>
          <w:rFonts w:ascii="Times New Roman" w:hAnsi="Times New Roman" w:cs="Times New Roman"/>
          <w:sz w:val="24"/>
          <w:szCs w:val="24"/>
        </w:rPr>
        <w:t xml:space="preserve">de mieux orienter les flux de capitaux </w:t>
      </w:r>
      <w:r w:rsidR="00664A38" w:rsidRPr="00AF41CC">
        <w:rPr>
          <w:rFonts w:ascii="Times New Roman" w:hAnsi="Times New Roman" w:cs="Times New Roman"/>
          <w:sz w:val="24"/>
          <w:szCs w:val="24"/>
        </w:rPr>
        <w:t>par l’attraction d’une</w:t>
      </w:r>
      <w:r w:rsidR="00192CD0" w:rsidRPr="00AF41CC">
        <w:rPr>
          <w:rFonts w:ascii="Times New Roman" w:hAnsi="Times New Roman" w:cs="Times New Roman"/>
          <w:sz w:val="24"/>
          <w:szCs w:val="24"/>
        </w:rPr>
        <w:t xml:space="preserve"> rédu</w:t>
      </w:r>
      <w:r w:rsidR="00664A38" w:rsidRPr="00AF41CC">
        <w:rPr>
          <w:rFonts w:ascii="Times New Roman" w:hAnsi="Times New Roman" w:cs="Times New Roman"/>
          <w:sz w:val="24"/>
          <w:szCs w:val="24"/>
        </w:rPr>
        <w:t>ction du</w:t>
      </w:r>
      <w:r w:rsidR="00192CD0" w:rsidRPr="00AF41CC">
        <w:rPr>
          <w:rFonts w:ascii="Times New Roman" w:hAnsi="Times New Roman" w:cs="Times New Roman"/>
          <w:sz w:val="24"/>
          <w:szCs w:val="24"/>
        </w:rPr>
        <w:t xml:space="preserve"> coût du capital</w:t>
      </w:r>
      <w:r w:rsidR="00664A38" w:rsidRPr="00AF41CC">
        <w:rPr>
          <w:rFonts w:ascii="Times New Roman" w:hAnsi="Times New Roman" w:cs="Times New Roman"/>
          <w:sz w:val="24"/>
          <w:szCs w:val="24"/>
        </w:rPr>
        <w:t xml:space="preserve">. La décision de la CE est ainsi entièrement ordonnée à l’impératif de la concurrence entre capitaux. </w:t>
      </w:r>
      <w:r w:rsidR="00D05259" w:rsidRPr="00AF41CC">
        <w:rPr>
          <w:rFonts w:ascii="Times New Roman" w:hAnsi="Times New Roman" w:cs="Times New Roman"/>
          <w:sz w:val="24"/>
          <w:szCs w:val="24"/>
        </w:rPr>
        <w:t xml:space="preserve">Elle met en lumière la </w:t>
      </w:r>
      <w:r w:rsidR="00D05259" w:rsidRPr="00AF41CC">
        <w:rPr>
          <w:rFonts w:ascii="Times New Roman" w:hAnsi="Times New Roman" w:cs="Times New Roman"/>
          <w:i/>
          <w:iCs/>
          <w:sz w:val="24"/>
          <w:szCs w:val="24"/>
        </w:rPr>
        <w:t>nouvelle forme</w:t>
      </w:r>
      <w:r w:rsidR="00D05259" w:rsidRPr="00AF41CC">
        <w:rPr>
          <w:rFonts w:ascii="Times New Roman" w:hAnsi="Times New Roman" w:cs="Times New Roman"/>
          <w:sz w:val="24"/>
          <w:szCs w:val="24"/>
        </w:rPr>
        <w:t xml:space="preserve"> que prend </w:t>
      </w:r>
      <w:r w:rsidR="00937C17" w:rsidRPr="00AF41CC">
        <w:rPr>
          <w:rFonts w:ascii="Times New Roman" w:hAnsi="Times New Roman" w:cs="Times New Roman"/>
          <w:sz w:val="24"/>
          <w:szCs w:val="24"/>
        </w:rPr>
        <w:t xml:space="preserve">désormais </w:t>
      </w:r>
      <w:r w:rsidR="00D05259" w:rsidRPr="00AF41CC">
        <w:rPr>
          <w:rFonts w:ascii="Times New Roman" w:hAnsi="Times New Roman" w:cs="Times New Roman"/>
          <w:sz w:val="24"/>
          <w:szCs w:val="24"/>
        </w:rPr>
        <w:t xml:space="preserve">la souveraineté de l’Etat : sa fonction est de créer les conditions les plus favorables à la circulation </w:t>
      </w:r>
      <w:r w:rsidR="00937C17" w:rsidRPr="00AF41CC">
        <w:rPr>
          <w:rFonts w:ascii="Times New Roman" w:hAnsi="Times New Roman" w:cs="Times New Roman"/>
          <w:sz w:val="24"/>
          <w:szCs w:val="24"/>
        </w:rPr>
        <w:t xml:space="preserve">transnationale du capital </w:t>
      </w:r>
      <w:r w:rsidR="00D05259" w:rsidRPr="00AF41CC">
        <w:rPr>
          <w:rFonts w:ascii="Times New Roman" w:hAnsi="Times New Roman" w:cs="Times New Roman"/>
          <w:sz w:val="24"/>
          <w:szCs w:val="24"/>
        </w:rPr>
        <w:t>en organisant et en orientant les flux de capitaux à son avantage.</w:t>
      </w:r>
      <w:r w:rsidR="00EB79BB" w:rsidRPr="00AF41CC">
        <w:rPr>
          <w:rFonts w:ascii="Times New Roman" w:hAnsi="Times New Roman" w:cs="Times New Roman"/>
          <w:sz w:val="24"/>
          <w:szCs w:val="24"/>
        </w:rPr>
        <w:t xml:space="preserve"> Pour accomplir cette tâche, l’Etat </w:t>
      </w:r>
      <w:r w:rsidR="00937C17" w:rsidRPr="00AF41CC">
        <w:rPr>
          <w:rFonts w:ascii="Times New Roman" w:hAnsi="Times New Roman" w:cs="Times New Roman"/>
          <w:sz w:val="24"/>
          <w:szCs w:val="24"/>
        </w:rPr>
        <w:t xml:space="preserve">est </w:t>
      </w:r>
      <w:r w:rsidR="00FD76D5" w:rsidRPr="00AF41CC">
        <w:rPr>
          <w:rFonts w:ascii="Times New Roman" w:hAnsi="Times New Roman" w:cs="Times New Roman"/>
          <w:sz w:val="24"/>
          <w:szCs w:val="24"/>
        </w:rPr>
        <w:t xml:space="preserve">plus que jamais </w:t>
      </w:r>
      <w:r w:rsidR="00937C17" w:rsidRPr="00AF41CC">
        <w:rPr>
          <w:rFonts w:ascii="Times New Roman" w:hAnsi="Times New Roman" w:cs="Times New Roman"/>
          <w:sz w:val="24"/>
          <w:szCs w:val="24"/>
        </w:rPr>
        <w:t>requis d’</w:t>
      </w:r>
      <w:r w:rsidR="00FD76D5" w:rsidRPr="00AF41CC">
        <w:rPr>
          <w:rFonts w:ascii="Times New Roman" w:hAnsi="Times New Roman" w:cs="Times New Roman"/>
          <w:sz w:val="24"/>
          <w:szCs w:val="24"/>
        </w:rPr>
        <w:t>exercer sa souveraineté</w:t>
      </w:r>
      <w:r w:rsidR="00EB79BB" w:rsidRPr="00AF41CC">
        <w:rPr>
          <w:rFonts w:ascii="Times New Roman" w:hAnsi="Times New Roman" w:cs="Times New Roman"/>
          <w:sz w:val="24"/>
          <w:szCs w:val="24"/>
        </w:rPr>
        <w:t xml:space="preserve">. L’Union européenne offre à cet égard l’exemple non d’une véritable souveraineté supranationale, mais </w:t>
      </w:r>
      <w:r w:rsidR="00937C17" w:rsidRPr="00AF41CC">
        <w:rPr>
          <w:rFonts w:ascii="Times New Roman" w:hAnsi="Times New Roman" w:cs="Times New Roman"/>
          <w:sz w:val="24"/>
          <w:szCs w:val="24"/>
        </w:rPr>
        <w:t xml:space="preserve">celui </w:t>
      </w:r>
      <w:r w:rsidR="00FD76D5" w:rsidRPr="00AF41CC">
        <w:rPr>
          <w:rFonts w:ascii="Times New Roman" w:hAnsi="Times New Roman" w:cs="Times New Roman"/>
          <w:sz w:val="24"/>
          <w:szCs w:val="24"/>
        </w:rPr>
        <w:t xml:space="preserve">d’une construction </w:t>
      </w:r>
      <w:r w:rsidR="00895008" w:rsidRPr="00AF41CC">
        <w:rPr>
          <w:rFonts w:ascii="Times New Roman" w:hAnsi="Times New Roman" w:cs="Times New Roman"/>
          <w:sz w:val="24"/>
          <w:szCs w:val="24"/>
        </w:rPr>
        <w:t xml:space="preserve">à plusieurs niveaux </w:t>
      </w:r>
      <w:r w:rsidR="009B3AF7" w:rsidRPr="00AF41CC">
        <w:rPr>
          <w:rFonts w:ascii="Times New Roman" w:hAnsi="Times New Roman" w:cs="Times New Roman"/>
          <w:sz w:val="24"/>
          <w:szCs w:val="24"/>
        </w:rPr>
        <w:t>(Commission</w:t>
      </w:r>
      <w:r w:rsidR="00ED7FC1" w:rsidRPr="00AF41CC">
        <w:rPr>
          <w:rFonts w:ascii="Times New Roman" w:hAnsi="Times New Roman" w:cs="Times New Roman"/>
          <w:sz w:val="24"/>
          <w:szCs w:val="24"/>
        </w:rPr>
        <w:t>,</w:t>
      </w:r>
      <w:r w:rsidR="009B3AF7" w:rsidRPr="00AF41CC">
        <w:rPr>
          <w:rFonts w:ascii="Times New Roman" w:hAnsi="Times New Roman" w:cs="Times New Roman"/>
          <w:sz w:val="24"/>
          <w:szCs w:val="24"/>
        </w:rPr>
        <w:t xml:space="preserve"> Conseil de</w:t>
      </w:r>
      <w:r w:rsidR="00ED7FC1" w:rsidRPr="00AF41CC">
        <w:rPr>
          <w:rFonts w:ascii="Times New Roman" w:hAnsi="Times New Roman" w:cs="Times New Roman"/>
          <w:sz w:val="24"/>
          <w:szCs w:val="24"/>
        </w:rPr>
        <w:t>s chefs d’Etat, Conseil des ministres, Parlement, etc.)</w:t>
      </w:r>
      <w:r w:rsidR="009B3AF7" w:rsidRPr="00AF41CC">
        <w:rPr>
          <w:rFonts w:ascii="Times New Roman" w:hAnsi="Times New Roman" w:cs="Times New Roman"/>
          <w:sz w:val="24"/>
          <w:szCs w:val="24"/>
        </w:rPr>
        <w:t xml:space="preserve">, où la pratique du lobbying est si systématique </w:t>
      </w:r>
      <w:r w:rsidR="00ED7FC1" w:rsidRPr="00AF41CC">
        <w:rPr>
          <w:rFonts w:ascii="Times New Roman" w:hAnsi="Times New Roman" w:cs="Times New Roman"/>
          <w:sz w:val="24"/>
          <w:szCs w:val="24"/>
        </w:rPr>
        <w:t xml:space="preserve">et généralisée qu’elle s’applique </w:t>
      </w:r>
      <w:r w:rsidR="004D05A7" w:rsidRPr="00AF41CC">
        <w:rPr>
          <w:rFonts w:ascii="Times New Roman" w:hAnsi="Times New Roman" w:cs="Times New Roman"/>
          <w:sz w:val="24"/>
          <w:szCs w:val="24"/>
        </w:rPr>
        <w:t xml:space="preserve">non seulement aux relations des grandes entreprises aux pouvoirs constitués de l’UE mais </w:t>
      </w:r>
      <w:r w:rsidR="00731B18" w:rsidRPr="00AF41CC">
        <w:rPr>
          <w:rFonts w:ascii="Times New Roman" w:hAnsi="Times New Roman" w:cs="Times New Roman"/>
          <w:sz w:val="24"/>
          <w:szCs w:val="24"/>
        </w:rPr>
        <w:t xml:space="preserve">également </w:t>
      </w:r>
      <w:r w:rsidR="004D05A7" w:rsidRPr="00AF41CC">
        <w:rPr>
          <w:rFonts w:ascii="Times New Roman" w:hAnsi="Times New Roman" w:cs="Times New Roman"/>
          <w:sz w:val="24"/>
          <w:szCs w:val="24"/>
        </w:rPr>
        <w:t xml:space="preserve">à celles </w:t>
      </w:r>
      <w:r w:rsidR="009B3AF7" w:rsidRPr="00AF41CC">
        <w:rPr>
          <w:rFonts w:ascii="Times New Roman" w:hAnsi="Times New Roman" w:cs="Times New Roman"/>
          <w:sz w:val="24"/>
          <w:szCs w:val="24"/>
        </w:rPr>
        <w:t>que les différents Etats entretiennent avec</w:t>
      </w:r>
      <w:r w:rsidR="004D05A7" w:rsidRPr="00AF41CC">
        <w:rPr>
          <w:rFonts w:ascii="Times New Roman" w:hAnsi="Times New Roman" w:cs="Times New Roman"/>
          <w:sz w:val="24"/>
          <w:szCs w:val="24"/>
        </w:rPr>
        <w:t xml:space="preserve"> ces mêmes</w:t>
      </w:r>
      <w:r w:rsidR="009B3AF7" w:rsidRPr="00AF41CC">
        <w:rPr>
          <w:rFonts w:ascii="Times New Roman" w:hAnsi="Times New Roman" w:cs="Times New Roman"/>
          <w:sz w:val="24"/>
          <w:szCs w:val="24"/>
        </w:rPr>
        <w:t xml:space="preserve"> pouvoirs</w:t>
      </w:r>
      <w:r w:rsidR="00CE0CB2" w:rsidRPr="00AF41CC">
        <w:rPr>
          <w:rFonts w:ascii="Times New Roman" w:hAnsi="Times New Roman" w:cs="Times New Roman"/>
          <w:sz w:val="24"/>
          <w:szCs w:val="24"/>
        </w:rPr>
        <w:t xml:space="preserve"> : le lobbying de l’Etat français relaye fort opportunément le lobbying pronucléaire </w:t>
      </w:r>
      <w:r w:rsidR="006F2A77" w:rsidRPr="00AF41CC">
        <w:rPr>
          <w:rFonts w:ascii="Times New Roman" w:hAnsi="Times New Roman" w:cs="Times New Roman"/>
          <w:sz w:val="24"/>
          <w:szCs w:val="24"/>
        </w:rPr>
        <w:t>pratiqué par</w:t>
      </w:r>
      <w:r w:rsidR="00CE0CB2" w:rsidRPr="00AF41CC">
        <w:rPr>
          <w:rFonts w:ascii="Times New Roman" w:hAnsi="Times New Roman" w:cs="Times New Roman"/>
          <w:sz w:val="24"/>
          <w:szCs w:val="24"/>
        </w:rPr>
        <w:t xml:space="preserve"> EDF</w:t>
      </w:r>
      <w:r w:rsidR="006F2A77" w:rsidRPr="00AF41CC">
        <w:rPr>
          <w:rFonts w:ascii="Times New Roman" w:hAnsi="Times New Roman" w:cs="Times New Roman"/>
          <w:sz w:val="24"/>
          <w:szCs w:val="24"/>
        </w:rPr>
        <w:t xml:space="preserve"> et AREVA</w:t>
      </w:r>
      <w:r w:rsidR="006349CA" w:rsidRPr="00AF41CC">
        <w:rPr>
          <w:rFonts w:ascii="Times New Roman" w:hAnsi="Times New Roman" w:cs="Times New Roman"/>
          <w:sz w:val="24"/>
          <w:szCs w:val="24"/>
        </w:rPr>
        <w:t xml:space="preserve">, il lui assure en quelque sorte une </w:t>
      </w:r>
      <w:r w:rsidR="00D96107" w:rsidRPr="00AF41CC">
        <w:rPr>
          <w:rFonts w:ascii="Times New Roman" w:hAnsi="Times New Roman" w:cs="Times New Roman"/>
          <w:sz w:val="24"/>
          <w:szCs w:val="24"/>
        </w:rPr>
        <w:t>« </w:t>
      </w:r>
      <w:r w:rsidR="006349CA" w:rsidRPr="00AF41CC">
        <w:rPr>
          <w:rFonts w:ascii="Times New Roman" w:hAnsi="Times New Roman" w:cs="Times New Roman"/>
          <w:sz w:val="24"/>
          <w:szCs w:val="24"/>
        </w:rPr>
        <w:t>légitimité</w:t>
      </w:r>
      <w:r w:rsidR="00D96107" w:rsidRPr="00AF41CC">
        <w:rPr>
          <w:rFonts w:ascii="Times New Roman" w:hAnsi="Times New Roman" w:cs="Times New Roman"/>
          <w:sz w:val="24"/>
          <w:szCs w:val="24"/>
        </w:rPr>
        <w:t> »</w:t>
      </w:r>
      <w:r w:rsidR="006349CA" w:rsidRPr="00AF41CC">
        <w:rPr>
          <w:rFonts w:ascii="Times New Roman" w:hAnsi="Times New Roman" w:cs="Times New Roman"/>
          <w:sz w:val="24"/>
          <w:szCs w:val="24"/>
        </w:rPr>
        <w:t xml:space="preserve"> puisqu’il œuvre de l’intérieur des institutions de l’UE.</w:t>
      </w:r>
      <w:r w:rsidR="009B3AF7" w:rsidRPr="00AF41CC">
        <w:rPr>
          <w:rFonts w:ascii="Times New Roman" w:hAnsi="Times New Roman" w:cs="Times New Roman"/>
          <w:sz w:val="24"/>
          <w:szCs w:val="24"/>
        </w:rPr>
        <w:t xml:space="preserve"> </w:t>
      </w:r>
      <w:r w:rsidR="00F77AB7" w:rsidRPr="00AF41CC">
        <w:rPr>
          <w:rFonts w:ascii="Times New Roman" w:hAnsi="Times New Roman" w:cs="Times New Roman"/>
          <w:sz w:val="24"/>
          <w:szCs w:val="24"/>
        </w:rPr>
        <w:t>Dans cette lumière, l’UE apparaît pour ce qu’elle est : l</w:t>
      </w:r>
      <w:r w:rsidR="00D96107" w:rsidRPr="00AF41CC">
        <w:rPr>
          <w:rFonts w:ascii="Times New Roman" w:hAnsi="Times New Roman" w:cs="Times New Roman"/>
          <w:sz w:val="24"/>
          <w:szCs w:val="24"/>
        </w:rPr>
        <w:t>’espace</w:t>
      </w:r>
      <w:r w:rsidR="00F77AB7" w:rsidRPr="00AF41CC">
        <w:rPr>
          <w:rFonts w:ascii="Times New Roman" w:hAnsi="Times New Roman" w:cs="Times New Roman"/>
          <w:sz w:val="24"/>
          <w:szCs w:val="24"/>
        </w:rPr>
        <w:t xml:space="preserve"> </w:t>
      </w:r>
      <w:r w:rsidR="0030212E" w:rsidRPr="00AF41CC">
        <w:rPr>
          <w:rFonts w:ascii="Times New Roman" w:hAnsi="Times New Roman" w:cs="Times New Roman"/>
          <w:sz w:val="24"/>
          <w:szCs w:val="24"/>
        </w:rPr>
        <w:t>de jeu i</w:t>
      </w:r>
      <w:r w:rsidR="00F77AB7" w:rsidRPr="00AF41CC">
        <w:rPr>
          <w:rFonts w:ascii="Times New Roman" w:hAnsi="Times New Roman" w:cs="Times New Roman"/>
          <w:sz w:val="24"/>
          <w:szCs w:val="24"/>
        </w:rPr>
        <w:t>nstitutionnel d’un gigantesque lobbying</w:t>
      </w:r>
      <w:r w:rsidR="00991DEB" w:rsidRPr="00AF41CC">
        <w:rPr>
          <w:rFonts w:ascii="Times New Roman" w:hAnsi="Times New Roman" w:cs="Times New Roman"/>
          <w:sz w:val="24"/>
          <w:szCs w:val="24"/>
        </w:rPr>
        <w:t xml:space="preserve"> pratiqué à plusieurs niveaux</w:t>
      </w:r>
      <w:r w:rsidR="00F1530B" w:rsidRPr="00AF41CC">
        <w:rPr>
          <w:rFonts w:ascii="Times New Roman" w:hAnsi="Times New Roman" w:cs="Times New Roman"/>
          <w:sz w:val="24"/>
          <w:szCs w:val="24"/>
        </w:rPr>
        <w:t xml:space="preserve"> qui opère tel un mécanisme autosuffisant et rend toute </w:t>
      </w:r>
      <w:r w:rsidR="00F1530B" w:rsidRPr="00AF41CC">
        <w:rPr>
          <w:rFonts w:ascii="Times New Roman" w:hAnsi="Times New Roman" w:cs="Times New Roman"/>
          <w:sz w:val="24"/>
          <w:szCs w:val="24"/>
        </w:rPr>
        <w:lastRenderedPageBreak/>
        <w:t>véritable délibération superflue</w:t>
      </w:r>
      <w:r w:rsidR="00F77AB7" w:rsidRPr="00AF41CC">
        <w:rPr>
          <w:rFonts w:ascii="Times New Roman" w:hAnsi="Times New Roman" w:cs="Times New Roman"/>
          <w:sz w:val="24"/>
          <w:szCs w:val="24"/>
        </w:rPr>
        <w:t xml:space="preserve">. </w:t>
      </w:r>
      <w:r w:rsidR="00D96107" w:rsidRPr="00AF41CC">
        <w:rPr>
          <w:rFonts w:ascii="Times New Roman" w:hAnsi="Times New Roman" w:cs="Times New Roman"/>
          <w:sz w:val="24"/>
          <w:szCs w:val="24"/>
        </w:rPr>
        <w:t xml:space="preserve">Tel est le </w:t>
      </w:r>
      <w:r w:rsidR="00D96107" w:rsidRPr="00AF41CC">
        <w:rPr>
          <w:rFonts w:ascii="Times New Roman" w:hAnsi="Times New Roman" w:cs="Times New Roman"/>
          <w:i/>
          <w:iCs/>
          <w:sz w:val="24"/>
          <w:szCs w:val="24"/>
        </w:rPr>
        <w:t>process of decision-making</w:t>
      </w:r>
      <w:r w:rsidR="00D96107" w:rsidRPr="00AF41CC">
        <w:rPr>
          <w:rFonts w:ascii="Times New Roman" w:hAnsi="Times New Roman" w:cs="Times New Roman"/>
          <w:sz w:val="24"/>
          <w:szCs w:val="24"/>
        </w:rPr>
        <w:t xml:space="preserve"> qui a force de loi au sein de l’UE</w:t>
      </w:r>
      <w:r w:rsidR="0030212E" w:rsidRPr="00AF41CC">
        <w:rPr>
          <w:rFonts w:ascii="Times New Roman" w:hAnsi="Times New Roman" w:cs="Times New Roman"/>
          <w:sz w:val="24"/>
          <w:szCs w:val="24"/>
        </w:rPr>
        <w:t>.</w:t>
      </w:r>
    </w:p>
    <w:p w14:paraId="5AEC99A1" w14:textId="06EB8479" w:rsidR="00DB468D" w:rsidRPr="00AF41CC" w:rsidRDefault="0030212E" w:rsidP="005D3353">
      <w:pPr>
        <w:spacing w:line="360" w:lineRule="auto"/>
        <w:jc w:val="both"/>
        <w:rPr>
          <w:rFonts w:ascii="Times New Roman" w:hAnsi="Times New Roman" w:cs="Times New Roman"/>
          <w:sz w:val="24"/>
          <w:szCs w:val="24"/>
        </w:rPr>
      </w:pPr>
      <w:r w:rsidRPr="00AF41CC">
        <w:rPr>
          <w:rFonts w:ascii="Times New Roman" w:hAnsi="Times New Roman" w:cs="Times New Roman"/>
          <w:sz w:val="24"/>
          <w:szCs w:val="24"/>
        </w:rPr>
        <w:t xml:space="preserve">De là procède </w:t>
      </w:r>
      <w:r w:rsidR="00ED7FC1" w:rsidRPr="00AF41CC">
        <w:rPr>
          <w:rFonts w:ascii="Times New Roman" w:hAnsi="Times New Roman" w:cs="Times New Roman"/>
          <w:sz w:val="24"/>
          <w:szCs w:val="24"/>
        </w:rPr>
        <w:t>la logique d’</w:t>
      </w:r>
      <w:r w:rsidR="00FD76D5" w:rsidRPr="00AF41CC">
        <w:rPr>
          <w:rFonts w:ascii="Times New Roman" w:hAnsi="Times New Roman" w:cs="Times New Roman"/>
          <w:i/>
          <w:iCs/>
          <w:sz w:val="24"/>
          <w:szCs w:val="24"/>
        </w:rPr>
        <w:t>accords interétatiques à géométrie variable</w:t>
      </w:r>
      <w:r w:rsidR="00FD76D5" w:rsidRPr="00AF41CC">
        <w:rPr>
          <w:rFonts w:ascii="Times New Roman" w:hAnsi="Times New Roman" w:cs="Times New Roman"/>
          <w:sz w:val="24"/>
          <w:szCs w:val="24"/>
        </w:rPr>
        <w:t xml:space="preserve"> qui reconfigurent la souveraineté étatique d’une façon inédite</w:t>
      </w:r>
      <w:r w:rsidR="00895008" w:rsidRPr="00AF41CC">
        <w:rPr>
          <w:rFonts w:ascii="Times New Roman" w:hAnsi="Times New Roman" w:cs="Times New Roman"/>
          <w:sz w:val="24"/>
          <w:szCs w:val="24"/>
        </w:rPr>
        <w:t xml:space="preserve"> sans pour autant l’abolir</w:t>
      </w:r>
      <w:r w:rsidR="00FD76D5" w:rsidRPr="00AF41CC">
        <w:rPr>
          <w:rFonts w:ascii="Times New Roman" w:hAnsi="Times New Roman" w:cs="Times New Roman"/>
          <w:sz w:val="24"/>
          <w:szCs w:val="24"/>
        </w:rPr>
        <w:t>.</w:t>
      </w:r>
      <w:r w:rsidR="00C356F2" w:rsidRPr="00AF41CC">
        <w:rPr>
          <w:rFonts w:ascii="Times New Roman" w:hAnsi="Times New Roman" w:cs="Times New Roman"/>
          <w:sz w:val="24"/>
          <w:szCs w:val="24"/>
        </w:rPr>
        <w:t xml:space="preserve"> De ce point de vue, la stratégie adoptée par Macron </w:t>
      </w:r>
      <w:r w:rsidR="004D05A7" w:rsidRPr="00AF41CC">
        <w:rPr>
          <w:rFonts w:ascii="Times New Roman" w:hAnsi="Times New Roman" w:cs="Times New Roman"/>
          <w:sz w:val="24"/>
          <w:szCs w:val="24"/>
        </w:rPr>
        <w:t xml:space="preserve">à la veille de la présidence française est </w:t>
      </w:r>
      <w:r w:rsidR="00C55463" w:rsidRPr="00AF41CC">
        <w:rPr>
          <w:rFonts w:ascii="Times New Roman" w:hAnsi="Times New Roman" w:cs="Times New Roman"/>
          <w:sz w:val="24"/>
          <w:szCs w:val="24"/>
        </w:rPr>
        <w:t xml:space="preserve">très révélatrice de sa conception de la </w:t>
      </w:r>
      <w:r w:rsidR="008D68F6" w:rsidRPr="00AF41CC">
        <w:rPr>
          <w:rFonts w:ascii="Times New Roman" w:hAnsi="Times New Roman" w:cs="Times New Roman"/>
          <w:sz w:val="24"/>
          <w:szCs w:val="24"/>
        </w:rPr>
        <w:t>« </w:t>
      </w:r>
      <w:r w:rsidR="00C55463" w:rsidRPr="00AF41CC">
        <w:rPr>
          <w:rFonts w:ascii="Times New Roman" w:hAnsi="Times New Roman" w:cs="Times New Roman"/>
          <w:sz w:val="24"/>
          <w:szCs w:val="24"/>
        </w:rPr>
        <w:t>souveraineté européenne »</w:t>
      </w:r>
      <w:r w:rsidR="008D68F6" w:rsidRPr="00AF41CC">
        <w:rPr>
          <w:rFonts w:ascii="Times New Roman" w:hAnsi="Times New Roman" w:cs="Times New Roman"/>
          <w:sz w:val="24"/>
          <w:szCs w:val="24"/>
        </w:rPr>
        <w:t>. D</w:t>
      </w:r>
      <w:r w:rsidR="00C55463" w:rsidRPr="00AF41CC">
        <w:rPr>
          <w:rFonts w:ascii="Times New Roman" w:hAnsi="Times New Roman" w:cs="Times New Roman"/>
          <w:sz w:val="24"/>
          <w:szCs w:val="24"/>
        </w:rPr>
        <w:t>ans un premier temps</w:t>
      </w:r>
      <w:r w:rsidR="006F2A77" w:rsidRPr="00AF41CC">
        <w:rPr>
          <w:rFonts w:ascii="Times New Roman" w:hAnsi="Times New Roman" w:cs="Times New Roman"/>
          <w:sz w:val="24"/>
          <w:szCs w:val="24"/>
        </w:rPr>
        <w:t>,</w:t>
      </w:r>
      <w:r w:rsidR="00C47E4B" w:rsidRPr="00AF41CC">
        <w:rPr>
          <w:rFonts w:ascii="Times New Roman" w:hAnsi="Times New Roman" w:cs="Times New Roman"/>
          <w:sz w:val="24"/>
          <w:szCs w:val="24"/>
        </w:rPr>
        <w:t xml:space="preserve"> </w:t>
      </w:r>
      <w:r w:rsidR="00693497" w:rsidRPr="00AF41CC">
        <w:rPr>
          <w:rFonts w:ascii="Times New Roman" w:hAnsi="Times New Roman" w:cs="Times New Roman"/>
          <w:sz w:val="24"/>
          <w:szCs w:val="24"/>
        </w:rPr>
        <w:t xml:space="preserve">il </w:t>
      </w:r>
      <w:r w:rsidR="00C47E4B" w:rsidRPr="00AF41CC">
        <w:rPr>
          <w:rFonts w:ascii="Times New Roman" w:hAnsi="Times New Roman" w:cs="Times New Roman"/>
          <w:sz w:val="24"/>
          <w:szCs w:val="24"/>
        </w:rPr>
        <w:t>conclut un accord avec Orban</w:t>
      </w:r>
      <w:r w:rsidR="006F184A" w:rsidRPr="00AF41CC">
        <w:rPr>
          <w:rFonts w:ascii="Times New Roman" w:hAnsi="Times New Roman" w:cs="Times New Roman"/>
          <w:sz w:val="24"/>
          <w:szCs w:val="24"/>
        </w:rPr>
        <w:t xml:space="preserve"> lors de sa visite à Budapest le 13 décembre 2021</w:t>
      </w:r>
      <w:r w:rsidR="00693497" w:rsidRPr="00AF41CC">
        <w:rPr>
          <w:rFonts w:ascii="Times New Roman" w:hAnsi="Times New Roman" w:cs="Times New Roman"/>
          <w:sz w:val="24"/>
          <w:szCs w:val="24"/>
        </w:rPr>
        <w:t xml:space="preserve">, avant même que </w:t>
      </w:r>
      <w:r w:rsidRPr="00AF41CC">
        <w:rPr>
          <w:rFonts w:ascii="Times New Roman" w:hAnsi="Times New Roman" w:cs="Times New Roman"/>
          <w:sz w:val="24"/>
          <w:szCs w:val="24"/>
        </w:rPr>
        <w:t>la nouvelle</w:t>
      </w:r>
      <w:r w:rsidR="00693497" w:rsidRPr="00AF41CC">
        <w:rPr>
          <w:rFonts w:ascii="Times New Roman" w:hAnsi="Times New Roman" w:cs="Times New Roman"/>
          <w:sz w:val="24"/>
          <w:szCs w:val="24"/>
        </w:rPr>
        <w:t xml:space="preserve"> taxonomie ne soit proposée par la CE</w:t>
      </w:r>
      <w:r w:rsidR="00C55463" w:rsidRPr="00AF41CC">
        <w:rPr>
          <w:rFonts w:ascii="Times New Roman" w:hAnsi="Times New Roman" w:cs="Times New Roman"/>
          <w:sz w:val="24"/>
          <w:szCs w:val="24"/>
        </w:rPr>
        <w:t xml:space="preserve">, mais de manière à donner davantage de poids à la pression exercée par la France. </w:t>
      </w:r>
      <w:r w:rsidR="008D68F6" w:rsidRPr="00AF41CC">
        <w:rPr>
          <w:rFonts w:ascii="Times New Roman" w:hAnsi="Times New Roman" w:cs="Times New Roman"/>
          <w:sz w:val="24"/>
          <w:szCs w:val="24"/>
        </w:rPr>
        <w:t xml:space="preserve">L’accord inclut la politique migratoire, la défense européenne et la reconnaissance </w:t>
      </w:r>
      <w:r w:rsidR="00991DEB" w:rsidRPr="00AF41CC">
        <w:rPr>
          <w:rFonts w:ascii="Times New Roman" w:hAnsi="Times New Roman" w:cs="Times New Roman"/>
          <w:sz w:val="24"/>
          <w:szCs w:val="24"/>
        </w:rPr>
        <w:t xml:space="preserve">par l’UE </w:t>
      </w:r>
      <w:r w:rsidR="008D68F6" w:rsidRPr="00AF41CC">
        <w:rPr>
          <w:rFonts w:ascii="Times New Roman" w:hAnsi="Times New Roman" w:cs="Times New Roman"/>
          <w:sz w:val="24"/>
          <w:szCs w:val="24"/>
        </w:rPr>
        <w:t xml:space="preserve">du nucléaire comme « énergie verte ». </w:t>
      </w:r>
      <w:r w:rsidR="00C55463" w:rsidRPr="00AF41CC">
        <w:rPr>
          <w:rFonts w:ascii="Times New Roman" w:hAnsi="Times New Roman" w:cs="Times New Roman"/>
          <w:sz w:val="24"/>
          <w:szCs w:val="24"/>
        </w:rPr>
        <w:t>D</w:t>
      </w:r>
      <w:r w:rsidR="00DD1AC0" w:rsidRPr="00AF41CC">
        <w:rPr>
          <w:rFonts w:ascii="Times New Roman" w:hAnsi="Times New Roman" w:cs="Times New Roman"/>
          <w:sz w:val="24"/>
          <w:szCs w:val="24"/>
        </w:rPr>
        <w:t>ans un second temps</w:t>
      </w:r>
      <w:r w:rsidR="00C55463" w:rsidRPr="00AF41CC">
        <w:rPr>
          <w:rFonts w:ascii="Times New Roman" w:hAnsi="Times New Roman" w:cs="Times New Roman"/>
          <w:sz w:val="24"/>
          <w:szCs w:val="24"/>
        </w:rPr>
        <w:t xml:space="preserve">, </w:t>
      </w:r>
      <w:r w:rsidR="00CC37B9" w:rsidRPr="00AF41CC">
        <w:rPr>
          <w:rFonts w:ascii="Times New Roman" w:hAnsi="Times New Roman" w:cs="Times New Roman"/>
          <w:sz w:val="24"/>
          <w:szCs w:val="24"/>
        </w:rPr>
        <w:t>le président français</w:t>
      </w:r>
      <w:r w:rsidR="00C55463" w:rsidRPr="00AF41CC">
        <w:rPr>
          <w:rFonts w:ascii="Times New Roman" w:hAnsi="Times New Roman" w:cs="Times New Roman"/>
          <w:sz w:val="24"/>
          <w:szCs w:val="24"/>
        </w:rPr>
        <w:t xml:space="preserve"> s’emploie à dissocier le front antinucléaire Allemagne-Autriche au moyen du deal sur la nouvelle taxonomie</w:t>
      </w:r>
      <w:r w:rsidR="00991DEB" w:rsidRPr="00AF41CC">
        <w:rPr>
          <w:rFonts w:ascii="Times New Roman" w:hAnsi="Times New Roman" w:cs="Times New Roman"/>
          <w:sz w:val="24"/>
          <w:szCs w:val="24"/>
        </w:rPr>
        <w:t xml:space="preserve"> rendu officiel peu de temps après. </w:t>
      </w:r>
      <w:r w:rsidR="00C55463" w:rsidRPr="00AF41CC">
        <w:rPr>
          <w:rFonts w:ascii="Times New Roman" w:hAnsi="Times New Roman" w:cs="Times New Roman"/>
          <w:sz w:val="24"/>
          <w:szCs w:val="24"/>
        </w:rPr>
        <w:t> </w:t>
      </w:r>
      <w:r w:rsidR="006470F9" w:rsidRPr="00AF41CC">
        <w:rPr>
          <w:rFonts w:ascii="Times New Roman" w:hAnsi="Times New Roman" w:cs="Times New Roman"/>
          <w:sz w:val="24"/>
          <w:szCs w:val="24"/>
        </w:rPr>
        <w:t xml:space="preserve">La France s’assure </w:t>
      </w:r>
      <w:r w:rsidR="00BC34E2" w:rsidRPr="00AF41CC">
        <w:rPr>
          <w:rFonts w:ascii="Times New Roman" w:hAnsi="Times New Roman" w:cs="Times New Roman"/>
          <w:sz w:val="24"/>
          <w:szCs w:val="24"/>
        </w:rPr>
        <w:t xml:space="preserve">ainsi sur cette question épineuse </w:t>
      </w:r>
      <w:r w:rsidR="006470F9" w:rsidRPr="00AF41CC">
        <w:rPr>
          <w:rFonts w:ascii="Times New Roman" w:hAnsi="Times New Roman" w:cs="Times New Roman"/>
          <w:sz w:val="24"/>
          <w:szCs w:val="24"/>
        </w:rPr>
        <w:t xml:space="preserve">le soutien </w:t>
      </w:r>
      <w:r w:rsidR="00BC34E2" w:rsidRPr="00AF41CC">
        <w:rPr>
          <w:rFonts w:ascii="Times New Roman" w:hAnsi="Times New Roman" w:cs="Times New Roman"/>
          <w:sz w:val="24"/>
          <w:szCs w:val="24"/>
        </w:rPr>
        <w:t xml:space="preserve">de l’Allemagne après celui de la Hongrie. </w:t>
      </w:r>
      <w:r w:rsidR="006470F9" w:rsidRPr="00AF41CC">
        <w:rPr>
          <w:rFonts w:ascii="Times New Roman" w:hAnsi="Times New Roman" w:cs="Times New Roman"/>
          <w:sz w:val="24"/>
          <w:szCs w:val="24"/>
        </w:rPr>
        <w:t>La nouvelle</w:t>
      </w:r>
      <w:r w:rsidR="00991DEB" w:rsidRPr="00AF41CC">
        <w:rPr>
          <w:rFonts w:ascii="Times New Roman" w:hAnsi="Times New Roman" w:cs="Times New Roman"/>
          <w:sz w:val="24"/>
          <w:szCs w:val="24"/>
        </w:rPr>
        <w:t xml:space="preserve"> posture</w:t>
      </w:r>
      <w:r w:rsidR="006470F9" w:rsidRPr="00AF41CC">
        <w:rPr>
          <w:rFonts w:ascii="Times New Roman" w:hAnsi="Times New Roman" w:cs="Times New Roman"/>
          <w:sz w:val="24"/>
          <w:szCs w:val="24"/>
        </w:rPr>
        <w:t xml:space="preserve"> adoptée</w:t>
      </w:r>
      <w:r w:rsidR="00991DEB" w:rsidRPr="00AF41CC">
        <w:rPr>
          <w:rFonts w:ascii="Times New Roman" w:hAnsi="Times New Roman" w:cs="Times New Roman"/>
          <w:sz w:val="24"/>
          <w:szCs w:val="24"/>
        </w:rPr>
        <w:t xml:space="preserve"> </w:t>
      </w:r>
      <w:r w:rsidR="006470F9" w:rsidRPr="00AF41CC">
        <w:rPr>
          <w:rFonts w:ascii="Times New Roman" w:hAnsi="Times New Roman" w:cs="Times New Roman"/>
          <w:sz w:val="24"/>
          <w:szCs w:val="24"/>
        </w:rPr>
        <w:t>par</w:t>
      </w:r>
      <w:r w:rsidR="00991DEB" w:rsidRPr="00AF41CC">
        <w:rPr>
          <w:rFonts w:ascii="Times New Roman" w:hAnsi="Times New Roman" w:cs="Times New Roman"/>
          <w:sz w:val="24"/>
          <w:szCs w:val="24"/>
        </w:rPr>
        <w:t xml:space="preserve"> </w:t>
      </w:r>
      <w:r w:rsidR="00BC34E2" w:rsidRPr="00AF41CC">
        <w:rPr>
          <w:rFonts w:ascii="Times New Roman" w:hAnsi="Times New Roman" w:cs="Times New Roman"/>
          <w:sz w:val="24"/>
          <w:szCs w:val="24"/>
        </w:rPr>
        <w:t xml:space="preserve">Orban et Macron, </w:t>
      </w:r>
      <w:r w:rsidR="00991DEB" w:rsidRPr="00AF41CC">
        <w:rPr>
          <w:rFonts w:ascii="Times New Roman" w:hAnsi="Times New Roman" w:cs="Times New Roman"/>
          <w:sz w:val="24"/>
          <w:szCs w:val="24"/>
        </w:rPr>
        <w:t xml:space="preserve">ces « adversaires politiques » devenus </w:t>
      </w:r>
      <w:r w:rsidR="00F1530B" w:rsidRPr="00AF41CC">
        <w:rPr>
          <w:rFonts w:ascii="Times New Roman" w:hAnsi="Times New Roman" w:cs="Times New Roman"/>
          <w:sz w:val="24"/>
          <w:szCs w:val="24"/>
        </w:rPr>
        <w:t xml:space="preserve">du jour au lendemain </w:t>
      </w:r>
      <w:r w:rsidR="00991DEB" w:rsidRPr="00AF41CC">
        <w:rPr>
          <w:rFonts w:ascii="Times New Roman" w:hAnsi="Times New Roman" w:cs="Times New Roman"/>
          <w:sz w:val="24"/>
          <w:szCs w:val="24"/>
        </w:rPr>
        <w:t xml:space="preserve">des </w:t>
      </w:r>
      <w:r w:rsidR="00DD1AC0" w:rsidRPr="00AF41CC">
        <w:rPr>
          <w:rFonts w:ascii="Times New Roman" w:hAnsi="Times New Roman" w:cs="Times New Roman"/>
          <w:sz w:val="24"/>
          <w:szCs w:val="24"/>
        </w:rPr>
        <w:t>« </w:t>
      </w:r>
      <w:r w:rsidR="00991DEB" w:rsidRPr="00AF41CC">
        <w:rPr>
          <w:rFonts w:ascii="Times New Roman" w:hAnsi="Times New Roman" w:cs="Times New Roman"/>
          <w:sz w:val="24"/>
          <w:szCs w:val="24"/>
        </w:rPr>
        <w:t>partenaires européens</w:t>
      </w:r>
      <w:r w:rsidR="00DD1AC0" w:rsidRPr="00AF41CC">
        <w:rPr>
          <w:rFonts w:ascii="Times New Roman" w:hAnsi="Times New Roman" w:cs="Times New Roman"/>
          <w:sz w:val="24"/>
          <w:szCs w:val="24"/>
        </w:rPr>
        <w:t> »</w:t>
      </w:r>
      <w:r w:rsidR="00BC34E2" w:rsidRPr="00AF41CC">
        <w:rPr>
          <w:rFonts w:ascii="Times New Roman" w:hAnsi="Times New Roman" w:cs="Times New Roman"/>
          <w:sz w:val="24"/>
          <w:szCs w:val="24"/>
        </w:rPr>
        <w:t>,</w:t>
      </w:r>
      <w:r w:rsidR="006470F9" w:rsidRPr="00AF41CC">
        <w:rPr>
          <w:rFonts w:ascii="Times New Roman" w:hAnsi="Times New Roman" w:cs="Times New Roman"/>
          <w:sz w:val="24"/>
          <w:szCs w:val="24"/>
        </w:rPr>
        <w:t xml:space="preserve"> en dit long sur </w:t>
      </w:r>
      <w:r w:rsidR="001F2627" w:rsidRPr="00AF41CC">
        <w:rPr>
          <w:rFonts w:ascii="Times New Roman" w:hAnsi="Times New Roman" w:cs="Times New Roman"/>
          <w:sz w:val="24"/>
          <w:szCs w:val="24"/>
        </w:rPr>
        <w:t xml:space="preserve">la </w:t>
      </w:r>
      <w:r w:rsidR="00BC34E2" w:rsidRPr="00AF41CC">
        <w:rPr>
          <w:rFonts w:ascii="Times New Roman" w:hAnsi="Times New Roman" w:cs="Times New Roman"/>
          <w:sz w:val="24"/>
          <w:szCs w:val="24"/>
        </w:rPr>
        <w:t>logique des intérêts étatiques</w:t>
      </w:r>
      <w:r w:rsidR="00DD1AC0" w:rsidRPr="00AF41CC">
        <w:rPr>
          <w:rFonts w:ascii="Times New Roman" w:hAnsi="Times New Roman" w:cs="Times New Roman"/>
          <w:sz w:val="24"/>
          <w:szCs w:val="24"/>
        </w:rPr>
        <w:t xml:space="preserve">. La convergence </w:t>
      </w:r>
      <w:r w:rsidR="007517B3" w:rsidRPr="00AF41CC">
        <w:rPr>
          <w:rFonts w:ascii="Times New Roman" w:hAnsi="Times New Roman" w:cs="Times New Roman"/>
          <w:sz w:val="24"/>
          <w:szCs w:val="24"/>
        </w:rPr>
        <w:t xml:space="preserve">franco-hongroise </w:t>
      </w:r>
      <w:r w:rsidR="00DD1AC0" w:rsidRPr="00AF41CC">
        <w:rPr>
          <w:rFonts w:ascii="Times New Roman" w:hAnsi="Times New Roman" w:cs="Times New Roman"/>
          <w:sz w:val="24"/>
          <w:szCs w:val="24"/>
        </w:rPr>
        <w:t xml:space="preserve">affichée sur la </w:t>
      </w:r>
      <w:r w:rsidR="007517B3" w:rsidRPr="00AF41CC">
        <w:rPr>
          <w:rFonts w:ascii="Times New Roman" w:hAnsi="Times New Roman" w:cs="Times New Roman"/>
          <w:sz w:val="24"/>
          <w:szCs w:val="24"/>
        </w:rPr>
        <w:t xml:space="preserve">politique migratoire aux </w:t>
      </w:r>
      <w:r w:rsidR="00DD1AC0" w:rsidRPr="00AF41CC">
        <w:rPr>
          <w:rFonts w:ascii="Times New Roman" w:hAnsi="Times New Roman" w:cs="Times New Roman"/>
          <w:sz w:val="24"/>
          <w:szCs w:val="24"/>
        </w:rPr>
        <w:t xml:space="preserve">frontières de l’UE joue ici un rôle clé, puisqu’il s’agit ni plus ni moins de </w:t>
      </w:r>
      <w:r w:rsidR="00CC37B9" w:rsidRPr="00AF41CC">
        <w:rPr>
          <w:rFonts w:ascii="Times New Roman" w:hAnsi="Times New Roman" w:cs="Times New Roman"/>
          <w:sz w:val="24"/>
          <w:szCs w:val="24"/>
        </w:rPr>
        <w:t>« </w:t>
      </w:r>
      <w:r w:rsidR="00DD1AC0" w:rsidRPr="00AF41CC">
        <w:rPr>
          <w:rFonts w:ascii="Times New Roman" w:hAnsi="Times New Roman" w:cs="Times New Roman"/>
          <w:sz w:val="24"/>
          <w:szCs w:val="24"/>
        </w:rPr>
        <w:t xml:space="preserve">rendre </w:t>
      </w:r>
      <w:r w:rsidR="00CC37B9" w:rsidRPr="00AF41CC">
        <w:rPr>
          <w:rFonts w:ascii="Times New Roman" w:hAnsi="Times New Roman" w:cs="Times New Roman"/>
          <w:sz w:val="24"/>
          <w:szCs w:val="24"/>
        </w:rPr>
        <w:t xml:space="preserve">le retour vers les pays d’origine plus efficace </w:t>
      </w:r>
      <w:r w:rsidR="00DD1AC0" w:rsidRPr="00AF41CC">
        <w:rPr>
          <w:rFonts w:ascii="Times New Roman" w:hAnsi="Times New Roman" w:cs="Times New Roman"/>
          <w:sz w:val="24"/>
          <w:szCs w:val="24"/>
        </w:rPr>
        <w:t>pour ceux qui ne sont pas éligibles à l’asile</w:t>
      </w:r>
      <w:r w:rsidR="00CC37B9" w:rsidRPr="00AF41CC">
        <w:rPr>
          <w:rFonts w:ascii="Times New Roman" w:hAnsi="Times New Roman" w:cs="Times New Roman"/>
          <w:sz w:val="24"/>
          <w:szCs w:val="24"/>
        </w:rPr>
        <w:t> »</w:t>
      </w:r>
      <w:r w:rsidR="00E22E04" w:rsidRPr="00AF41CC">
        <w:rPr>
          <w:rFonts w:ascii="Times New Roman" w:hAnsi="Times New Roman" w:cs="Times New Roman"/>
          <w:sz w:val="24"/>
          <w:szCs w:val="24"/>
        </w:rPr>
        <w:t>, c’est-à-dire d’i</w:t>
      </w:r>
      <w:r w:rsidR="006923F2" w:rsidRPr="00AF41CC">
        <w:rPr>
          <w:rFonts w:ascii="Times New Roman" w:hAnsi="Times New Roman" w:cs="Times New Roman"/>
          <w:sz w:val="24"/>
          <w:szCs w:val="24"/>
        </w:rPr>
        <w:t xml:space="preserve">ntensifier et </w:t>
      </w:r>
      <w:r w:rsidR="00E22E04" w:rsidRPr="00AF41CC">
        <w:rPr>
          <w:rFonts w:ascii="Times New Roman" w:hAnsi="Times New Roman" w:cs="Times New Roman"/>
          <w:sz w:val="24"/>
          <w:szCs w:val="24"/>
        </w:rPr>
        <w:t>d’</w:t>
      </w:r>
      <w:r w:rsidR="006923F2" w:rsidRPr="00AF41CC">
        <w:rPr>
          <w:rFonts w:ascii="Times New Roman" w:hAnsi="Times New Roman" w:cs="Times New Roman"/>
          <w:sz w:val="24"/>
          <w:szCs w:val="24"/>
        </w:rPr>
        <w:t xml:space="preserve">accélérer les reconduites à la frontière </w:t>
      </w:r>
      <w:r w:rsidR="00E15B00" w:rsidRPr="00AF41CC">
        <w:rPr>
          <w:rFonts w:ascii="Times New Roman" w:hAnsi="Times New Roman" w:cs="Times New Roman"/>
          <w:sz w:val="24"/>
          <w:szCs w:val="24"/>
        </w:rPr>
        <w:t xml:space="preserve">On </w:t>
      </w:r>
      <w:r w:rsidR="00C969DD" w:rsidRPr="00AF41CC">
        <w:rPr>
          <w:rFonts w:ascii="Times New Roman" w:hAnsi="Times New Roman" w:cs="Times New Roman"/>
          <w:sz w:val="24"/>
          <w:szCs w:val="24"/>
        </w:rPr>
        <w:t xml:space="preserve">voit à quel point l’affrontement entre </w:t>
      </w:r>
      <w:r w:rsidR="00FC44A2" w:rsidRPr="00AF41CC">
        <w:rPr>
          <w:rFonts w:ascii="Times New Roman" w:hAnsi="Times New Roman" w:cs="Times New Roman"/>
          <w:sz w:val="24"/>
          <w:szCs w:val="24"/>
        </w:rPr>
        <w:t>« </w:t>
      </w:r>
      <w:r w:rsidR="00C969DD" w:rsidRPr="00AF41CC">
        <w:rPr>
          <w:rFonts w:ascii="Times New Roman" w:hAnsi="Times New Roman" w:cs="Times New Roman"/>
          <w:sz w:val="24"/>
          <w:szCs w:val="24"/>
        </w:rPr>
        <w:t>progressistes</w:t>
      </w:r>
      <w:r w:rsidR="00FC44A2" w:rsidRPr="00AF41CC">
        <w:rPr>
          <w:rFonts w:ascii="Times New Roman" w:hAnsi="Times New Roman" w:cs="Times New Roman"/>
          <w:sz w:val="24"/>
          <w:szCs w:val="24"/>
        </w:rPr>
        <w:t> »</w:t>
      </w:r>
      <w:r w:rsidR="00C969DD" w:rsidRPr="00AF41CC">
        <w:rPr>
          <w:rFonts w:ascii="Times New Roman" w:hAnsi="Times New Roman" w:cs="Times New Roman"/>
          <w:sz w:val="24"/>
          <w:szCs w:val="24"/>
        </w:rPr>
        <w:t xml:space="preserve"> et </w:t>
      </w:r>
      <w:r w:rsidR="00FC44A2" w:rsidRPr="00AF41CC">
        <w:rPr>
          <w:rFonts w:ascii="Times New Roman" w:hAnsi="Times New Roman" w:cs="Times New Roman"/>
          <w:sz w:val="24"/>
          <w:szCs w:val="24"/>
        </w:rPr>
        <w:t>« </w:t>
      </w:r>
      <w:r w:rsidR="00C969DD" w:rsidRPr="00AF41CC">
        <w:rPr>
          <w:rFonts w:ascii="Times New Roman" w:hAnsi="Times New Roman" w:cs="Times New Roman"/>
          <w:sz w:val="24"/>
          <w:szCs w:val="24"/>
        </w:rPr>
        <w:t>nationalistes</w:t>
      </w:r>
      <w:r w:rsidR="00FC44A2" w:rsidRPr="00AF41CC">
        <w:rPr>
          <w:rFonts w:ascii="Times New Roman" w:hAnsi="Times New Roman" w:cs="Times New Roman"/>
          <w:sz w:val="24"/>
          <w:szCs w:val="24"/>
        </w:rPr>
        <w:t> »</w:t>
      </w:r>
      <w:r w:rsidR="000111CC" w:rsidRPr="00AF41CC">
        <w:rPr>
          <w:rFonts w:ascii="Times New Roman" w:hAnsi="Times New Roman" w:cs="Times New Roman"/>
          <w:sz w:val="24"/>
          <w:szCs w:val="24"/>
        </w:rPr>
        <w:t>, entre champions vertueux de l’« Etat de droit » et partisans de la « démocratie illibérale »,</w:t>
      </w:r>
      <w:r w:rsidR="00C969DD" w:rsidRPr="00AF41CC">
        <w:rPr>
          <w:rFonts w:ascii="Times New Roman" w:hAnsi="Times New Roman" w:cs="Times New Roman"/>
          <w:sz w:val="24"/>
          <w:szCs w:val="24"/>
        </w:rPr>
        <w:t xml:space="preserve"> relève </w:t>
      </w:r>
      <w:r w:rsidR="00A731CA" w:rsidRPr="00AF41CC">
        <w:rPr>
          <w:rFonts w:ascii="Times New Roman" w:hAnsi="Times New Roman" w:cs="Times New Roman"/>
          <w:sz w:val="24"/>
          <w:szCs w:val="24"/>
        </w:rPr>
        <w:t xml:space="preserve">non d’une </w:t>
      </w:r>
      <w:r w:rsidR="00FB4546" w:rsidRPr="00AF41CC">
        <w:rPr>
          <w:rFonts w:ascii="Times New Roman" w:hAnsi="Times New Roman" w:cs="Times New Roman"/>
          <w:sz w:val="24"/>
          <w:szCs w:val="24"/>
        </w:rPr>
        <w:t xml:space="preserve">véritable </w:t>
      </w:r>
      <w:r w:rsidR="00A731CA" w:rsidRPr="00AF41CC">
        <w:rPr>
          <w:rFonts w:ascii="Times New Roman" w:hAnsi="Times New Roman" w:cs="Times New Roman"/>
          <w:sz w:val="24"/>
          <w:szCs w:val="24"/>
        </w:rPr>
        <w:t xml:space="preserve">alternative, mais </w:t>
      </w:r>
      <w:r w:rsidR="00C969DD" w:rsidRPr="00AF41CC">
        <w:rPr>
          <w:rFonts w:ascii="Times New Roman" w:hAnsi="Times New Roman" w:cs="Times New Roman"/>
          <w:sz w:val="24"/>
          <w:szCs w:val="24"/>
        </w:rPr>
        <w:t xml:space="preserve">d’une mise en scène </w:t>
      </w:r>
      <w:r w:rsidR="002B214F" w:rsidRPr="00AF41CC">
        <w:rPr>
          <w:rFonts w:ascii="Times New Roman" w:hAnsi="Times New Roman" w:cs="Times New Roman"/>
          <w:sz w:val="24"/>
          <w:szCs w:val="24"/>
        </w:rPr>
        <w:t xml:space="preserve">et d’une dramatisation </w:t>
      </w:r>
      <w:r w:rsidR="00C969DD" w:rsidRPr="00AF41CC">
        <w:rPr>
          <w:rFonts w:ascii="Times New Roman" w:hAnsi="Times New Roman" w:cs="Times New Roman"/>
          <w:sz w:val="24"/>
          <w:szCs w:val="24"/>
        </w:rPr>
        <w:t xml:space="preserve">de désaccords </w:t>
      </w:r>
      <w:r w:rsidR="000111CC" w:rsidRPr="00AF41CC">
        <w:rPr>
          <w:rFonts w:ascii="Times New Roman" w:hAnsi="Times New Roman" w:cs="Times New Roman"/>
          <w:sz w:val="24"/>
          <w:szCs w:val="24"/>
        </w:rPr>
        <w:t xml:space="preserve">bien réels </w:t>
      </w:r>
      <w:r w:rsidR="00C969DD" w:rsidRPr="00AF41CC">
        <w:rPr>
          <w:rFonts w:ascii="Times New Roman" w:hAnsi="Times New Roman" w:cs="Times New Roman"/>
          <w:sz w:val="24"/>
          <w:szCs w:val="24"/>
        </w:rPr>
        <w:t>entre puissances étatiques nationale</w:t>
      </w:r>
      <w:r w:rsidR="002B214F" w:rsidRPr="00AF41CC">
        <w:rPr>
          <w:rFonts w:ascii="Times New Roman" w:hAnsi="Times New Roman" w:cs="Times New Roman"/>
          <w:sz w:val="24"/>
          <w:szCs w:val="24"/>
        </w:rPr>
        <w:t>s</w:t>
      </w:r>
      <w:r w:rsidR="000111CC" w:rsidRPr="00AF41CC">
        <w:rPr>
          <w:rFonts w:ascii="Times New Roman" w:hAnsi="Times New Roman" w:cs="Times New Roman"/>
          <w:sz w:val="24"/>
          <w:szCs w:val="24"/>
        </w:rPr>
        <w:t xml:space="preserve">. </w:t>
      </w:r>
      <w:r w:rsidR="00A731CA" w:rsidRPr="00AF41CC">
        <w:rPr>
          <w:rFonts w:ascii="Times New Roman" w:hAnsi="Times New Roman" w:cs="Times New Roman"/>
          <w:sz w:val="24"/>
          <w:szCs w:val="24"/>
        </w:rPr>
        <w:t xml:space="preserve">Toute alternative </w:t>
      </w:r>
      <w:r w:rsidR="006470F9" w:rsidRPr="00AF41CC">
        <w:rPr>
          <w:rFonts w:ascii="Times New Roman" w:hAnsi="Times New Roman" w:cs="Times New Roman"/>
          <w:sz w:val="24"/>
          <w:szCs w:val="24"/>
        </w:rPr>
        <w:t xml:space="preserve">écologique sérieuse </w:t>
      </w:r>
      <w:r w:rsidR="00A731CA" w:rsidRPr="00AF41CC">
        <w:rPr>
          <w:rFonts w:ascii="Times New Roman" w:hAnsi="Times New Roman" w:cs="Times New Roman"/>
          <w:sz w:val="24"/>
          <w:szCs w:val="24"/>
        </w:rPr>
        <w:t xml:space="preserve">est par avance disqualifiée </w:t>
      </w:r>
      <w:r w:rsidR="004E533E" w:rsidRPr="00AF41CC">
        <w:rPr>
          <w:rFonts w:ascii="Times New Roman" w:hAnsi="Times New Roman" w:cs="Times New Roman"/>
          <w:sz w:val="24"/>
          <w:szCs w:val="24"/>
        </w:rPr>
        <w:t xml:space="preserve">et </w:t>
      </w:r>
      <w:r w:rsidR="00FB4546" w:rsidRPr="00AF41CC">
        <w:rPr>
          <w:rFonts w:ascii="Times New Roman" w:hAnsi="Times New Roman" w:cs="Times New Roman"/>
          <w:sz w:val="24"/>
          <w:szCs w:val="24"/>
        </w:rPr>
        <w:t>ridiculis</w:t>
      </w:r>
      <w:r w:rsidR="004E533E" w:rsidRPr="00AF41CC">
        <w:rPr>
          <w:rFonts w:ascii="Times New Roman" w:hAnsi="Times New Roman" w:cs="Times New Roman"/>
          <w:sz w:val="24"/>
          <w:szCs w:val="24"/>
        </w:rPr>
        <w:t xml:space="preserve">ée </w:t>
      </w:r>
      <w:r w:rsidR="00FB4546" w:rsidRPr="00AF41CC">
        <w:rPr>
          <w:rFonts w:ascii="Times New Roman" w:hAnsi="Times New Roman" w:cs="Times New Roman"/>
          <w:sz w:val="24"/>
          <w:szCs w:val="24"/>
        </w:rPr>
        <w:t>comme une régression vers le</w:t>
      </w:r>
      <w:r w:rsidR="004E533E" w:rsidRPr="00AF41CC">
        <w:rPr>
          <w:rFonts w:ascii="Times New Roman" w:hAnsi="Times New Roman" w:cs="Times New Roman"/>
          <w:sz w:val="24"/>
          <w:szCs w:val="24"/>
        </w:rPr>
        <w:t xml:space="preserve"> « modèle amish », selon les mots de Macron</w:t>
      </w:r>
      <w:r w:rsidR="00FB4546" w:rsidRPr="00AF41CC">
        <w:rPr>
          <w:rFonts w:ascii="Times New Roman" w:hAnsi="Times New Roman" w:cs="Times New Roman"/>
          <w:sz w:val="24"/>
          <w:szCs w:val="24"/>
        </w:rPr>
        <w:t xml:space="preserve"> en 2020</w:t>
      </w:r>
      <w:r w:rsidR="006470F9" w:rsidRPr="00AF41CC">
        <w:rPr>
          <w:rFonts w:ascii="Times New Roman" w:hAnsi="Times New Roman" w:cs="Times New Roman"/>
          <w:sz w:val="24"/>
          <w:szCs w:val="24"/>
        </w:rPr>
        <w:t>.</w:t>
      </w:r>
      <w:r w:rsidR="004E533E" w:rsidRPr="00AF41CC">
        <w:rPr>
          <w:rFonts w:ascii="Times New Roman" w:hAnsi="Times New Roman" w:cs="Times New Roman"/>
          <w:sz w:val="24"/>
          <w:szCs w:val="24"/>
        </w:rPr>
        <w:t xml:space="preserve"> </w:t>
      </w:r>
      <w:r w:rsidR="005C2769" w:rsidRPr="00AF41CC">
        <w:rPr>
          <w:rFonts w:ascii="Times New Roman" w:hAnsi="Times New Roman" w:cs="Times New Roman"/>
          <w:sz w:val="24"/>
          <w:szCs w:val="24"/>
        </w:rPr>
        <w:t xml:space="preserve">Si l’on regarde </w:t>
      </w:r>
      <w:r w:rsidR="001F2627" w:rsidRPr="00AF41CC">
        <w:rPr>
          <w:rFonts w:ascii="Times New Roman" w:hAnsi="Times New Roman" w:cs="Times New Roman"/>
          <w:sz w:val="24"/>
          <w:szCs w:val="24"/>
        </w:rPr>
        <w:t>du côté de la « relation franco-allemande », on relèvera que l</w:t>
      </w:r>
      <w:r w:rsidR="007517B3" w:rsidRPr="00AF41CC">
        <w:rPr>
          <w:rFonts w:ascii="Times New Roman" w:hAnsi="Times New Roman" w:cs="Times New Roman"/>
          <w:sz w:val="24"/>
          <w:szCs w:val="24"/>
        </w:rPr>
        <w:t xml:space="preserve">a surveillance des frontières et la défense commune sont les deux axes de la </w:t>
      </w:r>
      <w:r w:rsidR="00E15B00" w:rsidRPr="00AF41CC">
        <w:rPr>
          <w:rFonts w:ascii="Times New Roman" w:hAnsi="Times New Roman" w:cs="Times New Roman"/>
          <w:sz w:val="24"/>
          <w:szCs w:val="24"/>
        </w:rPr>
        <w:t>« </w:t>
      </w:r>
      <w:r w:rsidR="007517B3" w:rsidRPr="00AF41CC">
        <w:rPr>
          <w:rFonts w:ascii="Times New Roman" w:hAnsi="Times New Roman" w:cs="Times New Roman"/>
          <w:sz w:val="24"/>
          <w:szCs w:val="24"/>
        </w:rPr>
        <w:t>souveraineté europé</w:t>
      </w:r>
      <w:r w:rsidR="00E15B00" w:rsidRPr="00AF41CC">
        <w:rPr>
          <w:rFonts w:ascii="Times New Roman" w:hAnsi="Times New Roman" w:cs="Times New Roman"/>
          <w:sz w:val="24"/>
          <w:szCs w:val="24"/>
        </w:rPr>
        <w:t>e</w:t>
      </w:r>
      <w:r w:rsidR="007517B3" w:rsidRPr="00AF41CC">
        <w:rPr>
          <w:rFonts w:ascii="Times New Roman" w:hAnsi="Times New Roman" w:cs="Times New Roman"/>
          <w:sz w:val="24"/>
          <w:szCs w:val="24"/>
        </w:rPr>
        <w:t>n</w:t>
      </w:r>
      <w:r w:rsidR="00E15B00" w:rsidRPr="00AF41CC">
        <w:rPr>
          <w:rFonts w:ascii="Times New Roman" w:hAnsi="Times New Roman" w:cs="Times New Roman"/>
          <w:sz w:val="24"/>
          <w:szCs w:val="24"/>
        </w:rPr>
        <w:t xml:space="preserve">ne » promue par la France, alors que l’Allemagne privilégie </w:t>
      </w:r>
      <w:r w:rsidR="00B95303" w:rsidRPr="00AF41CC">
        <w:rPr>
          <w:rFonts w:ascii="Times New Roman" w:hAnsi="Times New Roman" w:cs="Times New Roman"/>
          <w:sz w:val="24"/>
          <w:szCs w:val="24"/>
        </w:rPr>
        <w:t xml:space="preserve">de son côté </w:t>
      </w:r>
      <w:r w:rsidR="00E15B00" w:rsidRPr="00AF41CC">
        <w:rPr>
          <w:rFonts w:ascii="Times New Roman" w:hAnsi="Times New Roman" w:cs="Times New Roman"/>
          <w:sz w:val="24"/>
          <w:szCs w:val="24"/>
        </w:rPr>
        <w:t>la politique industrielle</w:t>
      </w:r>
      <w:r w:rsidR="004E533E" w:rsidRPr="00AF41CC">
        <w:rPr>
          <w:rFonts w:ascii="Times New Roman" w:hAnsi="Times New Roman" w:cs="Times New Roman"/>
          <w:sz w:val="24"/>
          <w:szCs w:val="24"/>
        </w:rPr>
        <w:t>.</w:t>
      </w:r>
      <w:r w:rsidR="00E15B00" w:rsidRPr="00AF41CC">
        <w:rPr>
          <w:rFonts w:ascii="Times New Roman" w:hAnsi="Times New Roman" w:cs="Times New Roman"/>
          <w:sz w:val="24"/>
          <w:szCs w:val="24"/>
        </w:rPr>
        <w:t xml:space="preserve"> </w:t>
      </w:r>
      <w:r w:rsidR="00FC44A2" w:rsidRPr="00AF41CC">
        <w:rPr>
          <w:rFonts w:ascii="Times New Roman" w:hAnsi="Times New Roman" w:cs="Times New Roman"/>
          <w:sz w:val="24"/>
          <w:szCs w:val="24"/>
        </w:rPr>
        <w:t xml:space="preserve">Mais cette divergence bien réelle </w:t>
      </w:r>
      <w:r w:rsidR="002B214F" w:rsidRPr="00AF41CC">
        <w:rPr>
          <w:rFonts w:ascii="Times New Roman" w:hAnsi="Times New Roman" w:cs="Times New Roman"/>
          <w:sz w:val="24"/>
          <w:szCs w:val="24"/>
        </w:rPr>
        <w:t>n’</w:t>
      </w:r>
      <w:r w:rsidR="00DF7FA7" w:rsidRPr="00AF41CC">
        <w:rPr>
          <w:rFonts w:ascii="Times New Roman" w:hAnsi="Times New Roman" w:cs="Times New Roman"/>
          <w:sz w:val="24"/>
          <w:szCs w:val="24"/>
        </w:rPr>
        <w:t>a</w:t>
      </w:r>
      <w:r w:rsidR="002B214F" w:rsidRPr="00AF41CC">
        <w:rPr>
          <w:rFonts w:ascii="Times New Roman" w:hAnsi="Times New Roman" w:cs="Times New Roman"/>
          <w:sz w:val="24"/>
          <w:szCs w:val="24"/>
        </w:rPr>
        <w:t xml:space="preserve"> nullement </w:t>
      </w:r>
      <w:r w:rsidR="00DF7FA7" w:rsidRPr="00AF41CC">
        <w:rPr>
          <w:rFonts w:ascii="Times New Roman" w:hAnsi="Times New Roman" w:cs="Times New Roman"/>
          <w:sz w:val="24"/>
          <w:szCs w:val="24"/>
        </w:rPr>
        <w:t xml:space="preserve">empêché </w:t>
      </w:r>
      <w:r w:rsidR="002B214F" w:rsidRPr="00AF41CC">
        <w:rPr>
          <w:rFonts w:ascii="Times New Roman" w:hAnsi="Times New Roman" w:cs="Times New Roman"/>
          <w:sz w:val="24"/>
          <w:szCs w:val="24"/>
        </w:rPr>
        <w:t>les deux puissances de s’entendre sur l</w:t>
      </w:r>
      <w:r w:rsidR="00A731CA" w:rsidRPr="00AF41CC">
        <w:rPr>
          <w:rFonts w:ascii="Times New Roman" w:hAnsi="Times New Roman" w:cs="Times New Roman"/>
          <w:sz w:val="24"/>
          <w:szCs w:val="24"/>
        </w:rPr>
        <w:t>’extension d</w:t>
      </w:r>
      <w:r w:rsidR="001F2627" w:rsidRPr="00AF41CC">
        <w:rPr>
          <w:rFonts w:ascii="Times New Roman" w:hAnsi="Times New Roman" w:cs="Times New Roman"/>
          <w:sz w:val="24"/>
          <w:szCs w:val="24"/>
        </w:rPr>
        <w:t xml:space="preserve">u label </w:t>
      </w:r>
      <w:r w:rsidR="004E533E" w:rsidRPr="00AF41CC">
        <w:rPr>
          <w:rFonts w:ascii="Times New Roman" w:hAnsi="Times New Roman" w:cs="Times New Roman"/>
          <w:sz w:val="24"/>
          <w:szCs w:val="24"/>
        </w:rPr>
        <w:t>« </w:t>
      </w:r>
      <w:r w:rsidR="002B214F" w:rsidRPr="00AF41CC">
        <w:rPr>
          <w:rFonts w:ascii="Times New Roman" w:hAnsi="Times New Roman" w:cs="Times New Roman"/>
          <w:sz w:val="24"/>
          <w:szCs w:val="24"/>
        </w:rPr>
        <w:t>énergie verte</w:t>
      </w:r>
      <w:r w:rsidR="004E533E" w:rsidRPr="00AF41CC">
        <w:rPr>
          <w:rFonts w:ascii="Times New Roman" w:hAnsi="Times New Roman" w:cs="Times New Roman"/>
          <w:sz w:val="24"/>
          <w:szCs w:val="24"/>
        </w:rPr>
        <w:t> »</w:t>
      </w:r>
      <w:r w:rsidR="002B214F" w:rsidRPr="00AF41CC">
        <w:rPr>
          <w:rFonts w:ascii="Times New Roman" w:hAnsi="Times New Roman" w:cs="Times New Roman"/>
          <w:sz w:val="24"/>
          <w:szCs w:val="24"/>
        </w:rPr>
        <w:t>.</w:t>
      </w:r>
      <w:r w:rsidR="000111CC" w:rsidRPr="00AF41CC">
        <w:rPr>
          <w:rFonts w:ascii="Times New Roman" w:hAnsi="Times New Roman" w:cs="Times New Roman"/>
          <w:sz w:val="24"/>
          <w:szCs w:val="24"/>
        </w:rPr>
        <w:t xml:space="preserve"> </w:t>
      </w:r>
      <w:r w:rsidR="00E67695" w:rsidRPr="00AF41CC">
        <w:rPr>
          <w:rFonts w:ascii="Times New Roman" w:hAnsi="Times New Roman" w:cs="Times New Roman"/>
          <w:sz w:val="24"/>
          <w:szCs w:val="24"/>
        </w:rPr>
        <w:t>Jusqu’à présent,</w:t>
      </w:r>
      <w:r w:rsidR="000111CC" w:rsidRPr="00AF41CC">
        <w:rPr>
          <w:rFonts w:ascii="Times New Roman" w:hAnsi="Times New Roman" w:cs="Times New Roman"/>
          <w:sz w:val="24"/>
          <w:szCs w:val="24"/>
        </w:rPr>
        <w:t xml:space="preserve"> l</w:t>
      </w:r>
      <w:r w:rsidR="00B95303" w:rsidRPr="00AF41CC">
        <w:rPr>
          <w:rFonts w:ascii="Times New Roman" w:hAnsi="Times New Roman" w:cs="Times New Roman"/>
          <w:sz w:val="24"/>
          <w:szCs w:val="24"/>
        </w:rPr>
        <w:t xml:space="preserve">’énergie nucléaire </w:t>
      </w:r>
      <w:r w:rsidR="00E67695" w:rsidRPr="00AF41CC">
        <w:rPr>
          <w:rFonts w:ascii="Times New Roman" w:hAnsi="Times New Roman" w:cs="Times New Roman"/>
          <w:sz w:val="24"/>
          <w:szCs w:val="24"/>
        </w:rPr>
        <w:t>est sortie</w:t>
      </w:r>
      <w:r w:rsidR="006470F9" w:rsidRPr="00AF41CC">
        <w:rPr>
          <w:rFonts w:ascii="Times New Roman" w:hAnsi="Times New Roman" w:cs="Times New Roman"/>
          <w:sz w:val="24"/>
          <w:szCs w:val="24"/>
        </w:rPr>
        <w:t xml:space="preserve"> gagnante de ce </w:t>
      </w:r>
      <w:r w:rsidR="005C2769" w:rsidRPr="00AF41CC">
        <w:rPr>
          <w:rFonts w:ascii="Times New Roman" w:hAnsi="Times New Roman" w:cs="Times New Roman"/>
          <w:sz w:val="24"/>
          <w:szCs w:val="24"/>
        </w:rPr>
        <w:t xml:space="preserve">double </w:t>
      </w:r>
      <w:r w:rsidR="006470F9" w:rsidRPr="00AF41CC">
        <w:rPr>
          <w:rFonts w:ascii="Times New Roman" w:hAnsi="Times New Roman" w:cs="Times New Roman"/>
          <w:sz w:val="24"/>
          <w:szCs w:val="24"/>
        </w:rPr>
        <w:t xml:space="preserve">jeu politique </w:t>
      </w:r>
      <w:r w:rsidR="001F2627" w:rsidRPr="00AF41CC">
        <w:rPr>
          <w:rFonts w:ascii="Times New Roman" w:hAnsi="Times New Roman" w:cs="Times New Roman"/>
          <w:sz w:val="24"/>
          <w:szCs w:val="24"/>
        </w:rPr>
        <w:t xml:space="preserve">de la </w:t>
      </w:r>
      <w:r w:rsidR="006470F9" w:rsidRPr="00AF41CC">
        <w:rPr>
          <w:rFonts w:ascii="Times New Roman" w:hAnsi="Times New Roman" w:cs="Times New Roman"/>
          <w:sz w:val="24"/>
          <w:szCs w:val="24"/>
        </w:rPr>
        <w:t>France</w:t>
      </w:r>
      <w:r w:rsidR="001F2627" w:rsidRPr="00AF41CC">
        <w:rPr>
          <w:rFonts w:ascii="Times New Roman" w:hAnsi="Times New Roman" w:cs="Times New Roman"/>
          <w:sz w:val="24"/>
          <w:szCs w:val="24"/>
        </w:rPr>
        <w:t xml:space="preserve"> avec la </w:t>
      </w:r>
      <w:r w:rsidR="006470F9" w:rsidRPr="00AF41CC">
        <w:rPr>
          <w:rFonts w:ascii="Times New Roman" w:hAnsi="Times New Roman" w:cs="Times New Roman"/>
          <w:sz w:val="24"/>
          <w:szCs w:val="24"/>
        </w:rPr>
        <w:t>Hongrie et</w:t>
      </w:r>
      <w:r w:rsidR="001F2627" w:rsidRPr="00AF41CC">
        <w:rPr>
          <w:rFonts w:ascii="Times New Roman" w:hAnsi="Times New Roman" w:cs="Times New Roman"/>
          <w:sz w:val="24"/>
          <w:szCs w:val="24"/>
        </w:rPr>
        <w:t xml:space="preserve"> avec l’</w:t>
      </w:r>
      <w:r w:rsidR="006470F9" w:rsidRPr="00AF41CC">
        <w:rPr>
          <w:rFonts w:ascii="Times New Roman" w:hAnsi="Times New Roman" w:cs="Times New Roman"/>
          <w:sz w:val="24"/>
          <w:szCs w:val="24"/>
        </w:rPr>
        <w:t>Allemagne</w:t>
      </w:r>
      <w:r w:rsidR="00E67695" w:rsidRPr="00AF41CC">
        <w:rPr>
          <w:rStyle w:val="Appelnotedebasdep"/>
          <w:rFonts w:ascii="Times New Roman" w:hAnsi="Times New Roman" w:cs="Times New Roman"/>
          <w:sz w:val="24"/>
          <w:szCs w:val="24"/>
        </w:rPr>
        <w:footnoteReference w:id="15"/>
      </w:r>
      <w:r w:rsidR="006470F9" w:rsidRPr="00AF41CC">
        <w:rPr>
          <w:rFonts w:ascii="Times New Roman" w:hAnsi="Times New Roman" w:cs="Times New Roman"/>
          <w:sz w:val="24"/>
          <w:szCs w:val="24"/>
        </w:rPr>
        <w:t xml:space="preserve">. </w:t>
      </w:r>
      <w:r w:rsidR="00FB4546" w:rsidRPr="00AF41CC">
        <w:rPr>
          <w:rFonts w:ascii="Times New Roman" w:hAnsi="Times New Roman" w:cs="Times New Roman"/>
          <w:sz w:val="24"/>
          <w:szCs w:val="24"/>
        </w:rPr>
        <w:t xml:space="preserve">C’est précisément sous cette nouvelle forme </w:t>
      </w:r>
      <w:r w:rsidR="003B1962" w:rsidRPr="00AF41CC">
        <w:rPr>
          <w:rFonts w:ascii="Times New Roman" w:hAnsi="Times New Roman" w:cs="Times New Roman"/>
          <w:sz w:val="24"/>
          <w:szCs w:val="24"/>
        </w:rPr>
        <w:t>mystificatrice</w:t>
      </w:r>
      <w:r w:rsidR="005C2769" w:rsidRPr="00AF41CC">
        <w:rPr>
          <w:rFonts w:ascii="Times New Roman" w:hAnsi="Times New Roman" w:cs="Times New Roman"/>
          <w:sz w:val="24"/>
          <w:szCs w:val="24"/>
        </w:rPr>
        <w:t xml:space="preserve">, </w:t>
      </w:r>
      <w:r w:rsidR="001F2627" w:rsidRPr="00AF41CC">
        <w:rPr>
          <w:rFonts w:ascii="Times New Roman" w:hAnsi="Times New Roman" w:cs="Times New Roman"/>
          <w:sz w:val="24"/>
          <w:szCs w:val="24"/>
        </w:rPr>
        <w:t xml:space="preserve">celle </w:t>
      </w:r>
      <w:r w:rsidR="005C2769" w:rsidRPr="00AF41CC">
        <w:rPr>
          <w:rFonts w:ascii="Times New Roman" w:hAnsi="Times New Roman" w:cs="Times New Roman"/>
          <w:sz w:val="24"/>
          <w:szCs w:val="24"/>
        </w:rPr>
        <w:t xml:space="preserve">d’une </w:t>
      </w:r>
      <w:r w:rsidR="00E35364" w:rsidRPr="00AF41CC">
        <w:rPr>
          <w:rFonts w:ascii="Times New Roman" w:hAnsi="Times New Roman" w:cs="Times New Roman"/>
          <w:sz w:val="24"/>
          <w:szCs w:val="24"/>
        </w:rPr>
        <w:lastRenderedPageBreak/>
        <w:t xml:space="preserve">prétendue </w:t>
      </w:r>
      <w:r w:rsidR="005C2769" w:rsidRPr="00AF41CC">
        <w:rPr>
          <w:rFonts w:ascii="Times New Roman" w:hAnsi="Times New Roman" w:cs="Times New Roman"/>
          <w:sz w:val="24"/>
          <w:szCs w:val="24"/>
        </w:rPr>
        <w:t>« souveraineté européenne »</w:t>
      </w:r>
      <w:r w:rsidR="000E39B5" w:rsidRPr="00AF41CC">
        <w:rPr>
          <w:rFonts w:ascii="Times New Roman" w:hAnsi="Times New Roman" w:cs="Times New Roman"/>
          <w:sz w:val="24"/>
          <w:szCs w:val="24"/>
        </w:rPr>
        <w:t xml:space="preserve"> ou encore d’une « Europe puissance »</w:t>
      </w:r>
      <w:r w:rsidR="005C2769" w:rsidRPr="00AF41CC">
        <w:rPr>
          <w:rFonts w:ascii="Times New Roman" w:hAnsi="Times New Roman" w:cs="Times New Roman"/>
          <w:sz w:val="24"/>
          <w:szCs w:val="24"/>
        </w:rPr>
        <w:t>,</w:t>
      </w:r>
      <w:r w:rsidR="003B1962" w:rsidRPr="00AF41CC">
        <w:rPr>
          <w:rFonts w:ascii="Times New Roman" w:hAnsi="Times New Roman" w:cs="Times New Roman"/>
          <w:sz w:val="24"/>
          <w:szCs w:val="24"/>
        </w:rPr>
        <w:t xml:space="preserve"> </w:t>
      </w:r>
      <w:r w:rsidR="00FB4546" w:rsidRPr="00AF41CC">
        <w:rPr>
          <w:rFonts w:ascii="Times New Roman" w:hAnsi="Times New Roman" w:cs="Times New Roman"/>
          <w:sz w:val="24"/>
          <w:szCs w:val="24"/>
        </w:rPr>
        <w:t xml:space="preserve">que la souveraineté étatique trouve </w:t>
      </w:r>
      <w:r w:rsidR="003F2A54" w:rsidRPr="00AF41CC">
        <w:rPr>
          <w:rFonts w:ascii="Times New Roman" w:hAnsi="Times New Roman" w:cs="Times New Roman"/>
          <w:sz w:val="24"/>
          <w:szCs w:val="24"/>
        </w:rPr>
        <w:t xml:space="preserve">toujours </w:t>
      </w:r>
      <w:r w:rsidR="00FB4546" w:rsidRPr="00AF41CC">
        <w:rPr>
          <w:rFonts w:ascii="Times New Roman" w:hAnsi="Times New Roman" w:cs="Times New Roman"/>
          <w:sz w:val="24"/>
          <w:szCs w:val="24"/>
        </w:rPr>
        <w:t>à s’exercer</w:t>
      </w:r>
      <w:r w:rsidR="003B1962" w:rsidRPr="00AF41CC">
        <w:rPr>
          <w:rFonts w:ascii="Times New Roman" w:hAnsi="Times New Roman" w:cs="Times New Roman"/>
          <w:sz w:val="24"/>
          <w:szCs w:val="24"/>
        </w:rPr>
        <w:t xml:space="preserve"> à l’intérieur de l’UE</w:t>
      </w:r>
      <w:r w:rsidR="00FB4546" w:rsidRPr="00AF41CC">
        <w:rPr>
          <w:rFonts w:ascii="Times New Roman" w:hAnsi="Times New Roman" w:cs="Times New Roman"/>
          <w:sz w:val="24"/>
          <w:szCs w:val="24"/>
        </w:rPr>
        <w:t>.</w:t>
      </w:r>
    </w:p>
    <w:p w14:paraId="7311070A" w14:textId="5A1BC922" w:rsidR="00B65F32" w:rsidRPr="00AF41CC" w:rsidRDefault="00B65F32" w:rsidP="005D3353">
      <w:pPr>
        <w:spacing w:line="360" w:lineRule="auto"/>
        <w:jc w:val="both"/>
        <w:rPr>
          <w:rFonts w:ascii="Times New Roman" w:hAnsi="Times New Roman" w:cs="Times New Roman"/>
          <w:b/>
          <w:sz w:val="24"/>
          <w:szCs w:val="24"/>
        </w:rPr>
      </w:pPr>
      <w:r w:rsidRPr="00AF41CC">
        <w:rPr>
          <w:rFonts w:ascii="Times New Roman" w:hAnsi="Times New Roman" w:cs="Times New Roman"/>
          <w:b/>
          <w:sz w:val="24"/>
          <w:szCs w:val="24"/>
        </w:rPr>
        <w:t>L</w:t>
      </w:r>
      <w:r w:rsidR="00AA48B4" w:rsidRPr="00AF41CC">
        <w:rPr>
          <w:rFonts w:ascii="Times New Roman" w:hAnsi="Times New Roman" w:cs="Times New Roman"/>
          <w:b/>
          <w:sz w:val="24"/>
          <w:szCs w:val="24"/>
        </w:rPr>
        <w:t xml:space="preserve">’esprit de </w:t>
      </w:r>
      <w:r w:rsidRPr="00AF41CC">
        <w:rPr>
          <w:rFonts w:ascii="Times New Roman" w:hAnsi="Times New Roman" w:cs="Times New Roman"/>
          <w:b/>
          <w:sz w:val="24"/>
          <w:szCs w:val="24"/>
        </w:rPr>
        <w:t>richesse et l</w:t>
      </w:r>
      <w:r w:rsidR="00AA48B4" w:rsidRPr="00AF41CC">
        <w:rPr>
          <w:rFonts w:ascii="Times New Roman" w:hAnsi="Times New Roman" w:cs="Times New Roman"/>
          <w:b/>
          <w:sz w:val="24"/>
          <w:szCs w:val="24"/>
        </w:rPr>
        <w:t>’esprit de</w:t>
      </w:r>
      <w:r w:rsidRPr="00AF41CC">
        <w:rPr>
          <w:rFonts w:ascii="Times New Roman" w:hAnsi="Times New Roman" w:cs="Times New Roman"/>
          <w:b/>
          <w:sz w:val="24"/>
          <w:szCs w:val="24"/>
        </w:rPr>
        <w:t xml:space="preserve"> puissance</w:t>
      </w:r>
    </w:p>
    <w:p w14:paraId="71CF416A" w14:textId="5F78F9B9" w:rsidR="001B53B8" w:rsidRPr="00AF41CC" w:rsidRDefault="00451DF8" w:rsidP="005D3353">
      <w:pPr>
        <w:spacing w:line="360" w:lineRule="auto"/>
        <w:jc w:val="both"/>
        <w:rPr>
          <w:rFonts w:ascii="Times New Roman" w:hAnsi="Times New Roman" w:cs="Times New Roman"/>
          <w:sz w:val="24"/>
          <w:szCs w:val="24"/>
        </w:rPr>
      </w:pPr>
      <w:r w:rsidRPr="00AF41CC">
        <w:rPr>
          <w:rFonts w:ascii="Times New Roman" w:hAnsi="Times New Roman" w:cs="Times New Roman"/>
          <w:sz w:val="24"/>
          <w:szCs w:val="24"/>
        </w:rPr>
        <w:t>O</w:t>
      </w:r>
      <w:r w:rsidR="008A4EC4" w:rsidRPr="00AF41CC">
        <w:rPr>
          <w:rFonts w:ascii="Times New Roman" w:hAnsi="Times New Roman" w:cs="Times New Roman"/>
          <w:sz w:val="24"/>
          <w:szCs w:val="24"/>
        </w:rPr>
        <w:t xml:space="preserve">n </w:t>
      </w:r>
      <w:r w:rsidR="00EB7B3C" w:rsidRPr="00AF41CC">
        <w:rPr>
          <w:rFonts w:ascii="Times New Roman" w:hAnsi="Times New Roman" w:cs="Times New Roman"/>
          <w:sz w:val="24"/>
          <w:szCs w:val="24"/>
        </w:rPr>
        <w:t xml:space="preserve">a dit plus haut </w:t>
      </w:r>
      <w:r w:rsidRPr="00AF41CC">
        <w:rPr>
          <w:rFonts w:ascii="Times New Roman" w:hAnsi="Times New Roman" w:cs="Times New Roman"/>
          <w:sz w:val="24"/>
          <w:szCs w:val="24"/>
        </w:rPr>
        <w:t xml:space="preserve">quelle </w:t>
      </w:r>
      <w:r w:rsidR="001D5965" w:rsidRPr="00AF41CC">
        <w:rPr>
          <w:rFonts w:ascii="Times New Roman" w:hAnsi="Times New Roman" w:cs="Times New Roman"/>
          <w:sz w:val="24"/>
          <w:szCs w:val="24"/>
        </w:rPr>
        <w:t xml:space="preserve">illusion </w:t>
      </w:r>
      <w:r w:rsidRPr="00AF41CC">
        <w:rPr>
          <w:rFonts w:ascii="Times New Roman" w:hAnsi="Times New Roman" w:cs="Times New Roman"/>
          <w:sz w:val="24"/>
          <w:szCs w:val="24"/>
        </w:rPr>
        <w:t xml:space="preserve">a emporté </w:t>
      </w:r>
      <w:r w:rsidR="00EB7B3C" w:rsidRPr="00AF41CC">
        <w:rPr>
          <w:rFonts w:ascii="Times New Roman" w:hAnsi="Times New Roman" w:cs="Times New Roman"/>
          <w:sz w:val="24"/>
          <w:szCs w:val="24"/>
        </w:rPr>
        <w:t xml:space="preserve">avec lui </w:t>
      </w:r>
      <w:r w:rsidRPr="00AF41CC">
        <w:rPr>
          <w:rFonts w:ascii="Times New Roman" w:hAnsi="Times New Roman" w:cs="Times New Roman"/>
          <w:sz w:val="24"/>
          <w:szCs w:val="24"/>
        </w:rPr>
        <w:t>un discours enchanté sur la mondia</w:t>
      </w:r>
      <w:r w:rsidR="00E67695" w:rsidRPr="00AF41CC">
        <w:rPr>
          <w:rFonts w:ascii="Times New Roman" w:hAnsi="Times New Roman" w:cs="Times New Roman"/>
          <w:sz w:val="24"/>
          <w:szCs w:val="24"/>
        </w:rPr>
        <w:t>l</w:t>
      </w:r>
      <w:r w:rsidRPr="00AF41CC">
        <w:rPr>
          <w:rFonts w:ascii="Times New Roman" w:hAnsi="Times New Roman" w:cs="Times New Roman"/>
          <w:sz w:val="24"/>
          <w:szCs w:val="24"/>
        </w:rPr>
        <w:t xml:space="preserve">isation capitaliste qui faisait croire que la densification des échanges et la fluidité du capital financier allaient </w:t>
      </w:r>
      <w:r w:rsidR="007838BB" w:rsidRPr="00AF41CC">
        <w:rPr>
          <w:rFonts w:ascii="Times New Roman" w:hAnsi="Times New Roman" w:cs="Times New Roman"/>
          <w:sz w:val="24"/>
          <w:szCs w:val="24"/>
        </w:rPr>
        <w:t xml:space="preserve">d’eux-mêmes </w:t>
      </w:r>
      <w:r w:rsidRPr="00AF41CC">
        <w:rPr>
          <w:rFonts w:ascii="Times New Roman" w:hAnsi="Times New Roman" w:cs="Times New Roman"/>
          <w:sz w:val="24"/>
          <w:szCs w:val="24"/>
        </w:rPr>
        <w:t>mettre fin au système interétatique international et à toutes les formes de nationalisme</w:t>
      </w:r>
      <w:r w:rsidR="00EB7B3C" w:rsidRPr="00AF41CC">
        <w:rPr>
          <w:rFonts w:ascii="Times New Roman" w:hAnsi="Times New Roman" w:cs="Times New Roman"/>
          <w:sz w:val="24"/>
          <w:szCs w:val="24"/>
        </w:rPr>
        <w:t xml:space="preserve"> au profit </w:t>
      </w:r>
      <w:r w:rsidR="001D5965" w:rsidRPr="00AF41CC">
        <w:rPr>
          <w:rFonts w:ascii="Times New Roman" w:hAnsi="Times New Roman" w:cs="Times New Roman"/>
          <w:sz w:val="24"/>
          <w:szCs w:val="24"/>
        </w:rPr>
        <w:t>d’un « monde plat »</w:t>
      </w:r>
      <w:r w:rsidR="00142F62" w:rsidRPr="00AF41CC">
        <w:rPr>
          <w:rFonts w:ascii="Times New Roman" w:hAnsi="Times New Roman" w:cs="Times New Roman"/>
          <w:sz w:val="24"/>
          <w:szCs w:val="24"/>
        </w:rPr>
        <w:t xml:space="preserve"> ou encore « lissé »</w:t>
      </w:r>
      <w:r w:rsidR="000E39B5" w:rsidRPr="00AF41CC">
        <w:rPr>
          <w:rFonts w:ascii="Times New Roman" w:hAnsi="Times New Roman" w:cs="Times New Roman"/>
          <w:sz w:val="24"/>
          <w:szCs w:val="24"/>
        </w:rPr>
        <w:t>.</w:t>
      </w:r>
      <w:r w:rsidRPr="00AF41CC">
        <w:rPr>
          <w:rFonts w:ascii="Times New Roman" w:hAnsi="Times New Roman" w:cs="Times New Roman"/>
          <w:sz w:val="24"/>
          <w:szCs w:val="24"/>
        </w:rPr>
        <w:t xml:space="preserve"> </w:t>
      </w:r>
      <w:r w:rsidR="006D39C4" w:rsidRPr="00AF41CC">
        <w:rPr>
          <w:rFonts w:ascii="Times New Roman" w:hAnsi="Times New Roman" w:cs="Times New Roman"/>
          <w:sz w:val="24"/>
          <w:szCs w:val="24"/>
        </w:rPr>
        <w:t xml:space="preserve">En réalité, on redécouvre </w:t>
      </w:r>
      <w:r w:rsidR="00EB7B3C" w:rsidRPr="00AF41CC">
        <w:rPr>
          <w:rFonts w:ascii="Times New Roman" w:hAnsi="Times New Roman" w:cs="Times New Roman"/>
          <w:sz w:val="24"/>
          <w:szCs w:val="24"/>
        </w:rPr>
        <w:t xml:space="preserve">aujourd’hui </w:t>
      </w:r>
      <w:r w:rsidR="006D39C4" w:rsidRPr="00AF41CC">
        <w:rPr>
          <w:rFonts w:ascii="Times New Roman" w:hAnsi="Times New Roman" w:cs="Times New Roman"/>
          <w:sz w:val="24"/>
          <w:szCs w:val="24"/>
        </w:rPr>
        <w:t>que puissance de l’État et richesse économique ne s’excluent nullement, qu’elle</w:t>
      </w:r>
      <w:r w:rsidR="001B53B8" w:rsidRPr="00AF41CC">
        <w:rPr>
          <w:rFonts w:ascii="Times New Roman" w:hAnsi="Times New Roman" w:cs="Times New Roman"/>
          <w:sz w:val="24"/>
          <w:szCs w:val="24"/>
        </w:rPr>
        <w:t>s communiquent et se conjuguent</w:t>
      </w:r>
      <w:r w:rsidR="006D39C4" w:rsidRPr="00AF41CC">
        <w:rPr>
          <w:rFonts w:ascii="Times New Roman" w:hAnsi="Times New Roman" w:cs="Times New Roman"/>
          <w:sz w:val="24"/>
          <w:szCs w:val="24"/>
        </w:rPr>
        <w:t xml:space="preserve"> toujours, quoique de façon différente selon les époques</w:t>
      </w:r>
      <w:r w:rsidR="00991953" w:rsidRPr="00AF41CC">
        <w:rPr>
          <w:rFonts w:ascii="Times New Roman" w:hAnsi="Times New Roman" w:cs="Times New Roman"/>
          <w:sz w:val="24"/>
          <w:szCs w:val="24"/>
        </w:rPr>
        <w:t xml:space="preserve"> et les circonstances</w:t>
      </w:r>
      <w:r w:rsidR="006D39C4" w:rsidRPr="00AF41CC">
        <w:rPr>
          <w:rFonts w:ascii="Times New Roman" w:hAnsi="Times New Roman" w:cs="Times New Roman"/>
          <w:sz w:val="24"/>
          <w:szCs w:val="24"/>
        </w:rPr>
        <w:t xml:space="preserve">. </w:t>
      </w:r>
      <w:r w:rsidR="00B44C57" w:rsidRPr="00AF41CC">
        <w:rPr>
          <w:rFonts w:ascii="Times New Roman" w:hAnsi="Times New Roman" w:cs="Times New Roman"/>
          <w:sz w:val="24"/>
          <w:szCs w:val="24"/>
        </w:rPr>
        <w:t xml:space="preserve">C’était </w:t>
      </w:r>
      <w:r w:rsidR="00991953" w:rsidRPr="00AF41CC">
        <w:rPr>
          <w:rFonts w:ascii="Times New Roman" w:hAnsi="Times New Roman" w:cs="Times New Roman"/>
          <w:sz w:val="24"/>
          <w:szCs w:val="24"/>
        </w:rPr>
        <w:t xml:space="preserve">comme on sait </w:t>
      </w:r>
      <w:r w:rsidR="00B44C57" w:rsidRPr="00AF41CC">
        <w:rPr>
          <w:rFonts w:ascii="Times New Roman" w:hAnsi="Times New Roman" w:cs="Times New Roman"/>
          <w:sz w:val="24"/>
          <w:szCs w:val="24"/>
        </w:rPr>
        <w:t xml:space="preserve">la grande leçon </w:t>
      </w:r>
      <w:r w:rsidR="00677E82" w:rsidRPr="00AF41CC">
        <w:rPr>
          <w:rFonts w:ascii="Times New Roman" w:hAnsi="Times New Roman" w:cs="Times New Roman"/>
          <w:sz w:val="24"/>
          <w:szCs w:val="24"/>
        </w:rPr>
        <w:t>de l’âge classique, au moment où</w:t>
      </w:r>
      <w:r w:rsidR="00991953" w:rsidRPr="00AF41CC">
        <w:rPr>
          <w:rFonts w:ascii="Times New Roman" w:hAnsi="Times New Roman" w:cs="Times New Roman"/>
          <w:sz w:val="24"/>
          <w:szCs w:val="24"/>
        </w:rPr>
        <w:t xml:space="preserve"> l’on </w:t>
      </w:r>
      <w:r w:rsidR="00677E82" w:rsidRPr="00AF41CC">
        <w:rPr>
          <w:rFonts w:ascii="Times New Roman" w:hAnsi="Times New Roman" w:cs="Times New Roman"/>
          <w:sz w:val="24"/>
          <w:szCs w:val="24"/>
        </w:rPr>
        <w:t xml:space="preserve">s’est mis à </w:t>
      </w:r>
      <w:r w:rsidR="00991953" w:rsidRPr="00AF41CC">
        <w:rPr>
          <w:rFonts w:ascii="Times New Roman" w:hAnsi="Times New Roman" w:cs="Times New Roman"/>
          <w:sz w:val="24"/>
          <w:szCs w:val="24"/>
        </w:rPr>
        <w:t>théorise</w:t>
      </w:r>
      <w:r w:rsidR="00677E82" w:rsidRPr="00AF41CC">
        <w:rPr>
          <w:rFonts w:ascii="Times New Roman" w:hAnsi="Times New Roman" w:cs="Times New Roman"/>
          <w:sz w:val="24"/>
          <w:szCs w:val="24"/>
        </w:rPr>
        <w:t>r</w:t>
      </w:r>
      <w:r w:rsidR="00991953" w:rsidRPr="00AF41CC">
        <w:rPr>
          <w:rFonts w:ascii="Times New Roman" w:hAnsi="Times New Roman" w:cs="Times New Roman"/>
          <w:sz w:val="24"/>
          <w:szCs w:val="24"/>
        </w:rPr>
        <w:t xml:space="preserve"> </w:t>
      </w:r>
      <w:r w:rsidR="00B44C57" w:rsidRPr="00AF41CC">
        <w:rPr>
          <w:rFonts w:ascii="Times New Roman" w:hAnsi="Times New Roman" w:cs="Times New Roman"/>
          <w:sz w:val="24"/>
          <w:szCs w:val="24"/>
        </w:rPr>
        <w:t>la</w:t>
      </w:r>
      <w:r w:rsidR="008A5F89" w:rsidRPr="00AF41CC">
        <w:rPr>
          <w:rFonts w:ascii="Times New Roman" w:hAnsi="Times New Roman" w:cs="Times New Roman"/>
          <w:sz w:val="24"/>
          <w:szCs w:val="24"/>
        </w:rPr>
        <w:t xml:space="preserve"> puissance économique des Etats</w:t>
      </w:r>
      <w:r w:rsidR="00B44C57" w:rsidRPr="00AF41CC">
        <w:rPr>
          <w:rFonts w:ascii="Times New Roman" w:hAnsi="Times New Roman" w:cs="Times New Roman"/>
          <w:sz w:val="24"/>
          <w:szCs w:val="24"/>
        </w:rPr>
        <w:t>. Montesquieu en a donné la formule succincte : « ce sont les richesses qui font la puissance »</w:t>
      </w:r>
      <w:r w:rsidR="002F2374" w:rsidRPr="00AF41CC">
        <w:rPr>
          <w:rStyle w:val="Appelnotedebasdep"/>
          <w:rFonts w:ascii="Times New Roman" w:hAnsi="Times New Roman" w:cs="Times New Roman"/>
          <w:sz w:val="24"/>
          <w:szCs w:val="24"/>
        </w:rPr>
        <w:footnoteReference w:id="16"/>
      </w:r>
      <w:r w:rsidR="00B44C57" w:rsidRPr="00AF41CC">
        <w:rPr>
          <w:rFonts w:ascii="Times New Roman" w:hAnsi="Times New Roman" w:cs="Times New Roman"/>
          <w:sz w:val="24"/>
          <w:szCs w:val="24"/>
        </w:rPr>
        <w:t xml:space="preserve">. </w:t>
      </w:r>
      <w:r w:rsidR="001B53B8" w:rsidRPr="00AF41CC">
        <w:rPr>
          <w:rFonts w:ascii="Times New Roman" w:hAnsi="Times New Roman" w:cs="Times New Roman"/>
          <w:sz w:val="24"/>
          <w:szCs w:val="24"/>
        </w:rPr>
        <w:t xml:space="preserve">Il aurait pu compléter : </w:t>
      </w:r>
      <w:r w:rsidR="00EB7B3C" w:rsidRPr="00AF41CC">
        <w:rPr>
          <w:rFonts w:ascii="Times New Roman" w:hAnsi="Times New Roman" w:cs="Times New Roman"/>
          <w:sz w:val="24"/>
          <w:szCs w:val="24"/>
        </w:rPr>
        <w:t>c’est aussi la puissance d’État</w:t>
      </w:r>
      <w:r w:rsidR="008A5F89" w:rsidRPr="00AF41CC">
        <w:rPr>
          <w:rFonts w:ascii="Times New Roman" w:hAnsi="Times New Roman" w:cs="Times New Roman"/>
          <w:sz w:val="24"/>
          <w:szCs w:val="24"/>
        </w:rPr>
        <w:t xml:space="preserve"> </w:t>
      </w:r>
      <w:r w:rsidR="001B53B8" w:rsidRPr="00AF41CC">
        <w:rPr>
          <w:rFonts w:ascii="Times New Roman" w:hAnsi="Times New Roman" w:cs="Times New Roman"/>
          <w:sz w:val="24"/>
          <w:szCs w:val="24"/>
        </w:rPr>
        <w:t>qui crée les conditions de la richesse, comme en témoigne le partage colonial du monde à partir du XV</w:t>
      </w:r>
      <w:r w:rsidR="00EB7B3C" w:rsidRPr="00AF41CC">
        <w:rPr>
          <w:rFonts w:ascii="Times New Roman" w:hAnsi="Times New Roman" w:cs="Times New Roman"/>
          <w:sz w:val="24"/>
          <w:szCs w:val="24"/>
        </w:rPr>
        <w:t>I</w:t>
      </w:r>
      <w:r w:rsidR="001B53B8" w:rsidRPr="00AF41CC">
        <w:rPr>
          <w:rFonts w:ascii="Times New Roman" w:hAnsi="Times New Roman" w:cs="Times New Roman"/>
          <w:sz w:val="24"/>
          <w:szCs w:val="24"/>
        </w:rPr>
        <w:t xml:space="preserve">e siècle. </w:t>
      </w:r>
    </w:p>
    <w:p w14:paraId="79EF08C0" w14:textId="7556A282" w:rsidR="00B65F32" w:rsidRPr="00AF41CC" w:rsidRDefault="00EB7B3C" w:rsidP="005D3353">
      <w:pPr>
        <w:spacing w:line="360" w:lineRule="auto"/>
        <w:jc w:val="both"/>
        <w:rPr>
          <w:rFonts w:ascii="Times New Roman" w:hAnsi="Times New Roman" w:cs="Times New Roman"/>
          <w:b/>
          <w:sz w:val="24"/>
          <w:szCs w:val="24"/>
        </w:rPr>
      </w:pPr>
      <w:r w:rsidRPr="00AF41CC">
        <w:rPr>
          <w:rFonts w:ascii="Times New Roman" w:hAnsi="Times New Roman" w:cs="Times New Roman"/>
          <w:sz w:val="24"/>
          <w:szCs w:val="24"/>
        </w:rPr>
        <w:t>C</w:t>
      </w:r>
      <w:r w:rsidR="001B53B8" w:rsidRPr="00AF41CC">
        <w:rPr>
          <w:rFonts w:ascii="Times New Roman" w:hAnsi="Times New Roman" w:cs="Times New Roman"/>
          <w:sz w:val="24"/>
          <w:szCs w:val="24"/>
        </w:rPr>
        <w:t>e « système-monde » qui se met en place</w:t>
      </w:r>
      <w:r w:rsidRPr="00AF41CC">
        <w:rPr>
          <w:rFonts w:ascii="Times New Roman" w:hAnsi="Times New Roman" w:cs="Times New Roman"/>
          <w:sz w:val="24"/>
          <w:szCs w:val="24"/>
        </w:rPr>
        <w:t xml:space="preserve"> à cette date</w:t>
      </w:r>
      <w:r w:rsidR="001B53B8" w:rsidRPr="00AF41CC">
        <w:rPr>
          <w:rFonts w:ascii="Times New Roman" w:hAnsi="Times New Roman" w:cs="Times New Roman"/>
          <w:sz w:val="24"/>
          <w:szCs w:val="24"/>
        </w:rPr>
        <w:t>, comme l’a montré Immanuel Wallerstein</w:t>
      </w:r>
      <w:r w:rsidR="001B53B8" w:rsidRPr="00AF41CC">
        <w:rPr>
          <w:rStyle w:val="Appelnotedebasdep"/>
          <w:rFonts w:ascii="Times New Roman" w:hAnsi="Times New Roman" w:cs="Times New Roman"/>
          <w:sz w:val="24"/>
          <w:szCs w:val="24"/>
        </w:rPr>
        <w:footnoteReference w:id="17"/>
      </w:r>
      <w:r w:rsidR="001B53B8" w:rsidRPr="00AF41CC">
        <w:rPr>
          <w:rFonts w:ascii="Times New Roman" w:hAnsi="Times New Roman" w:cs="Times New Roman"/>
          <w:sz w:val="24"/>
          <w:szCs w:val="24"/>
        </w:rPr>
        <w:t>, est particulièrement complexe, fait de forces étatiques, de systèmes productifs, de marchés, d’influences culturelles diverses, de classes sociales, de technologies de communication et de transport et</w:t>
      </w:r>
      <w:r w:rsidR="002D7433" w:rsidRPr="00AF41CC">
        <w:rPr>
          <w:rFonts w:ascii="Times New Roman" w:hAnsi="Times New Roman" w:cs="Times New Roman"/>
          <w:sz w:val="24"/>
          <w:szCs w:val="24"/>
        </w:rPr>
        <w:t>,</w:t>
      </w:r>
      <w:r w:rsidR="001B53B8" w:rsidRPr="00AF41CC">
        <w:rPr>
          <w:rFonts w:ascii="Times New Roman" w:hAnsi="Times New Roman" w:cs="Times New Roman"/>
          <w:sz w:val="24"/>
          <w:szCs w:val="24"/>
        </w:rPr>
        <w:t xml:space="preserve"> bien sûr</w:t>
      </w:r>
      <w:r w:rsidR="002D7433" w:rsidRPr="00AF41CC">
        <w:rPr>
          <w:rFonts w:ascii="Times New Roman" w:hAnsi="Times New Roman" w:cs="Times New Roman"/>
          <w:sz w:val="24"/>
          <w:szCs w:val="24"/>
        </w:rPr>
        <w:t>,</w:t>
      </w:r>
      <w:r w:rsidR="001B53B8" w:rsidRPr="00AF41CC">
        <w:rPr>
          <w:rFonts w:ascii="Times New Roman" w:hAnsi="Times New Roman" w:cs="Times New Roman"/>
          <w:sz w:val="24"/>
          <w:szCs w:val="24"/>
        </w:rPr>
        <w:t xml:space="preserve"> d’un ensemble assez homogène d’instruments de comptabilité, d’échange et de circulation monétaire. </w:t>
      </w:r>
      <w:r w:rsidR="00B65F32" w:rsidRPr="00AF41CC">
        <w:rPr>
          <w:rFonts w:ascii="Times New Roman" w:hAnsi="Times New Roman" w:cs="Times New Roman"/>
          <w:sz w:val="24"/>
          <w:szCs w:val="24"/>
        </w:rPr>
        <w:t xml:space="preserve">La relation entre Etat et </w:t>
      </w:r>
      <w:r w:rsidR="001B53B8" w:rsidRPr="00AF41CC">
        <w:rPr>
          <w:rFonts w:ascii="Times New Roman" w:hAnsi="Times New Roman" w:cs="Times New Roman"/>
          <w:sz w:val="24"/>
          <w:szCs w:val="24"/>
        </w:rPr>
        <w:t xml:space="preserve">capital y </w:t>
      </w:r>
      <w:r w:rsidR="00B65F32" w:rsidRPr="00AF41CC">
        <w:rPr>
          <w:rFonts w:ascii="Times New Roman" w:hAnsi="Times New Roman" w:cs="Times New Roman"/>
          <w:sz w:val="24"/>
          <w:szCs w:val="24"/>
        </w:rPr>
        <w:t xml:space="preserve">est </w:t>
      </w:r>
      <w:r w:rsidR="001B53B8" w:rsidRPr="00AF41CC">
        <w:rPr>
          <w:rFonts w:ascii="Times New Roman" w:hAnsi="Times New Roman" w:cs="Times New Roman"/>
          <w:sz w:val="24"/>
          <w:szCs w:val="24"/>
        </w:rPr>
        <w:t xml:space="preserve">toujours </w:t>
      </w:r>
      <w:r w:rsidR="00B65F32" w:rsidRPr="00AF41CC">
        <w:rPr>
          <w:rFonts w:ascii="Times New Roman" w:hAnsi="Times New Roman" w:cs="Times New Roman"/>
          <w:sz w:val="24"/>
          <w:szCs w:val="24"/>
        </w:rPr>
        <w:t xml:space="preserve">réciproque, comme l’avait </w:t>
      </w:r>
      <w:r w:rsidR="001B53B8" w:rsidRPr="00AF41CC">
        <w:rPr>
          <w:rFonts w:ascii="Times New Roman" w:hAnsi="Times New Roman" w:cs="Times New Roman"/>
          <w:sz w:val="24"/>
          <w:szCs w:val="24"/>
        </w:rPr>
        <w:t xml:space="preserve">déjà </w:t>
      </w:r>
      <w:r w:rsidR="00B65F32" w:rsidRPr="00AF41CC">
        <w:rPr>
          <w:rFonts w:ascii="Times New Roman" w:hAnsi="Times New Roman" w:cs="Times New Roman"/>
          <w:sz w:val="24"/>
          <w:szCs w:val="24"/>
        </w:rPr>
        <w:t xml:space="preserve">bien vu </w:t>
      </w:r>
      <w:r w:rsidR="000C5C30" w:rsidRPr="00AF41CC">
        <w:rPr>
          <w:rFonts w:ascii="Times New Roman" w:hAnsi="Times New Roman" w:cs="Times New Roman"/>
          <w:sz w:val="24"/>
          <w:szCs w:val="24"/>
        </w:rPr>
        <w:t xml:space="preserve">en son temps </w:t>
      </w:r>
      <w:r w:rsidR="00B65F32" w:rsidRPr="00AF41CC">
        <w:rPr>
          <w:rFonts w:ascii="Times New Roman" w:hAnsi="Times New Roman" w:cs="Times New Roman"/>
          <w:sz w:val="24"/>
          <w:szCs w:val="24"/>
        </w:rPr>
        <w:t>Weber quand il soulignait les affinités entre les formes de rationalisation du capitalisme privé et l’organisation bureaucratique</w:t>
      </w:r>
      <w:r w:rsidR="001B53B8" w:rsidRPr="00AF41CC">
        <w:rPr>
          <w:rFonts w:ascii="Times New Roman" w:hAnsi="Times New Roman" w:cs="Times New Roman"/>
          <w:sz w:val="24"/>
          <w:szCs w:val="24"/>
        </w:rPr>
        <w:t xml:space="preserve"> des Etats</w:t>
      </w:r>
      <w:r w:rsidR="00B65F32" w:rsidRPr="00AF41CC">
        <w:rPr>
          <w:rFonts w:ascii="Times New Roman" w:hAnsi="Times New Roman" w:cs="Times New Roman"/>
          <w:sz w:val="24"/>
          <w:szCs w:val="24"/>
        </w:rPr>
        <w:t xml:space="preserve">. « L’arithmétique politique » d’un William Petty doit beaucoup à la comptabilité privée, </w:t>
      </w:r>
      <w:r w:rsidR="001B53B8" w:rsidRPr="00AF41CC">
        <w:rPr>
          <w:rFonts w:ascii="Times New Roman" w:hAnsi="Times New Roman" w:cs="Times New Roman"/>
          <w:sz w:val="24"/>
          <w:szCs w:val="24"/>
        </w:rPr>
        <w:t xml:space="preserve">mais </w:t>
      </w:r>
      <w:r w:rsidR="00B65F32" w:rsidRPr="00AF41CC">
        <w:rPr>
          <w:rFonts w:ascii="Times New Roman" w:hAnsi="Times New Roman" w:cs="Times New Roman"/>
          <w:sz w:val="24"/>
          <w:szCs w:val="24"/>
        </w:rPr>
        <w:t xml:space="preserve">les compagnies commerciales ne se seraient pas </w:t>
      </w:r>
      <w:r w:rsidR="00391D51" w:rsidRPr="00AF41CC">
        <w:rPr>
          <w:rFonts w:ascii="Times New Roman" w:hAnsi="Times New Roman" w:cs="Times New Roman"/>
          <w:sz w:val="24"/>
          <w:szCs w:val="24"/>
        </w:rPr>
        <w:t>imposées</w:t>
      </w:r>
      <w:r w:rsidR="00B65F32" w:rsidRPr="00AF41CC">
        <w:rPr>
          <w:rFonts w:ascii="Times New Roman" w:hAnsi="Times New Roman" w:cs="Times New Roman"/>
          <w:sz w:val="24"/>
          <w:szCs w:val="24"/>
        </w:rPr>
        <w:t xml:space="preserve"> sans le soutien </w:t>
      </w:r>
      <w:r w:rsidR="000C5C30" w:rsidRPr="00AF41CC">
        <w:rPr>
          <w:rFonts w:ascii="Times New Roman" w:hAnsi="Times New Roman" w:cs="Times New Roman"/>
          <w:sz w:val="24"/>
          <w:szCs w:val="24"/>
        </w:rPr>
        <w:t>des marines royales</w:t>
      </w:r>
      <w:r w:rsidR="001B53B8" w:rsidRPr="00AF41CC">
        <w:rPr>
          <w:rFonts w:ascii="Times New Roman" w:hAnsi="Times New Roman" w:cs="Times New Roman"/>
          <w:sz w:val="24"/>
          <w:szCs w:val="24"/>
        </w:rPr>
        <w:t>. C</w:t>
      </w:r>
      <w:r w:rsidR="00B65F32" w:rsidRPr="00AF41CC">
        <w:rPr>
          <w:rFonts w:ascii="Times New Roman" w:hAnsi="Times New Roman" w:cs="Times New Roman"/>
          <w:sz w:val="24"/>
          <w:szCs w:val="24"/>
        </w:rPr>
        <w:t>et appui mutuel ent</w:t>
      </w:r>
      <w:r w:rsidR="001B53B8" w:rsidRPr="00AF41CC">
        <w:rPr>
          <w:rFonts w:ascii="Times New Roman" w:hAnsi="Times New Roman" w:cs="Times New Roman"/>
          <w:sz w:val="24"/>
          <w:szCs w:val="24"/>
        </w:rPr>
        <w:t xml:space="preserve">re capitalisme et État moderne ne doit certes pas faire oublier </w:t>
      </w:r>
      <w:r w:rsidR="00B65F32" w:rsidRPr="00AF41CC">
        <w:rPr>
          <w:rFonts w:ascii="Times New Roman" w:hAnsi="Times New Roman" w:cs="Times New Roman"/>
          <w:sz w:val="24"/>
          <w:szCs w:val="24"/>
        </w:rPr>
        <w:t xml:space="preserve">la sorte de « décollage » qu’opère le capitalisme par rapport à son enracinement géographique. Le capitalisme </w:t>
      </w:r>
      <w:r w:rsidR="004E4428" w:rsidRPr="00AF41CC">
        <w:rPr>
          <w:rFonts w:ascii="Times New Roman" w:hAnsi="Times New Roman" w:cs="Times New Roman"/>
          <w:sz w:val="24"/>
          <w:szCs w:val="24"/>
        </w:rPr>
        <w:t xml:space="preserve">a eu pour condition préalable </w:t>
      </w:r>
      <w:r w:rsidR="00B65F32" w:rsidRPr="00AF41CC">
        <w:rPr>
          <w:rFonts w:ascii="Times New Roman" w:hAnsi="Times New Roman" w:cs="Times New Roman"/>
          <w:sz w:val="24"/>
          <w:szCs w:val="24"/>
        </w:rPr>
        <w:t>des villes libres, des flottes, des entrepôts, des groupes organisés de marchands, en un mot une sphère d’activité autonome, à côté de l’État et des</w:t>
      </w:r>
      <w:r w:rsidR="001B53B8" w:rsidRPr="00AF41CC">
        <w:rPr>
          <w:rFonts w:ascii="Times New Roman" w:hAnsi="Times New Roman" w:cs="Times New Roman"/>
          <w:sz w:val="24"/>
          <w:szCs w:val="24"/>
        </w:rPr>
        <w:t xml:space="preserve"> hiérarchies traditionnelles</w:t>
      </w:r>
      <w:r w:rsidR="00B65F32" w:rsidRPr="00AF41CC">
        <w:rPr>
          <w:rFonts w:ascii="Times New Roman" w:hAnsi="Times New Roman" w:cs="Times New Roman"/>
          <w:sz w:val="24"/>
          <w:szCs w:val="24"/>
        </w:rPr>
        <w:t xml:space="preserve">.  C’est particulièrement vrai des villes-États comme Venise, Gênes, Florence, Anvers et plus tard Amsterdam, mais </w:t>
      </w:r>
      <w:r w:rsidR="002D7433" w:rsidRPr="00AF41CC">
        <w:rPr>
          <w:rFonts w:ascii="Times New Roman" w:hAnsi="Times New Roman" w:cs="Times New Roman"/>
          <w:sz w:val="24"/>
          <w:szCs w:val="24"/>
        </w:rPr>
        <w:t>ça l’est également</w:t>
      </w:r>
      <w:r w:rsidR="00B65F32" w:rsidRPr="00AF41CC">
        <w:rPr>
          <w:rFonts w:ascii="Times New Roman" w:hAnsi="Times New Roman" w:cs="Times New Roman"/>
          <w:sz w:val="24"/>
          <w:szCs w:val="24"/>
        </w:rPr>
        <w:t xml:space="preserve">, avec </w:t>
      </w:r>
      <w:r w:rsidR="00B65F32" w:rsidRPr="00AF41CC">
        <w:rPr>
          <w:rFonts w:ascii="Times New Roman" w:hAnsi="Times New Roman" w:cs="Times New Roman"/>
          <w:sz w:val="24"/>
          <w:szCs w:val="24"/>
        </w:rPr>
        <w:lastRenderedPageBreak/>
        <w:t>un décalage de temps, de tous les pays</w:t>
      </w:r>
      <w:r w:rsidR="002D7433" w:rsidRPr="00AF41CC">
        <w:rPr>
          <w:rFonts w:ascii="Times New Roman" w:hAnsi="Times New Roman" w:cs="Times New Roman"/>
          <w:sz w:val="24"/>
          <w:szCs w:val="24"/>
        </w:rPr>
        <w:t xml:space="preserve">, </w:t>
      </w:r>
      <w:r w:rsidR="00B65F32" w:rsidRPr="00AF41CC">
        <w:rPr>
          <w:rFonts w:ascii="Times New Roman" w:hAnsi="Times New Roman" w:cs="Times New Roman"/>
          <w:sz w:val="24"/>
          <w:szCs w:val="24"/>
        </w:rPr>
        <w:t>même de ceux précocement centralisés comme l’Espagne, le Portugal, la France et bien sûr l’Angleterre. La spécificité du capitalisme réside dans sa capacité à dépasser les limites locales de la production et de l’échange, à s’ouvrir au « comm</w:t>
      </w:r>
      <w:r w:rsidR="000C5C30" w:rsidRPr="00AF41CC">
        <w:rPr>
          <w:rFonts w:ascii="Times New Roman" w:hAnsi="Times New Roman" w:cs="Times New Roman"/>
          <w:sz w:val="24"/>
          <w:szCs w:val="24"/>
        </w:rPr>
        <w:t>erce lointain » et à organiser</w:t>
      </w:r>
      <w:r w:rsidR="00B65F32" w:rsidRPr="00AF41CC">
        <w:rPr>
          <w:rFonts w:ascii="Times New Roman" w:hAnsi="Times New Roman" w:cs="Times New Roman"/>
          <w:sz w:val="24"/>
          <w:szCs w:val="24"/>
        </w:rPr>
        <w:t xml:space="preserve"> une division internationale du travail. Dans tous les cas, l’État, </w:t>
      </w:r>
      <w:r w:rsidR="001B53B8" w:rsidRPr="00AF41CC">
        <w:rPr>
          <w:rFonts w:ascii="Times New Roman" w:hAnsi="Times New Roman" w:cs="Times New Roman"/>
          <w:sz w:val="24"/>
          <w:szCs w:val="24"/>
        </w:rPr>
        <w:t xml:space="preserve">plus ou moins </w:t>
      </w:r>
      <w:r w:rsidR="00B65F32" w:rsidRPr="00AF41CC">
        <w:rPr>
          <w:rFonts w:ascii="Times New Roman" w:hAnsi="Times New Roman" w:cs="Times New Roman"/>
          <w:sz w:val="24"/>
          <w:szCs w:val="24"/>
        </w:rPr>
        <w:t xml:space="preserve">soumis </w:t>
      </w:r>
      <w:r w:rsidR="001B53B8" w:rsidRPr="00AF41CC">
        <w:rPr>
          <w:rFonts w:ascii="Times New Roman" w:hAnsi="Times New Roman" w:cs="Times New Roman"/>
          <w:sz w:val="24"/>
          <w:szCs w:val="24"/>
        </w:rPr>
        <w:t>aux intérêts commerciaux</w:t>
      </w:r>
      <w:r w:rsidR="00B65F32" w:rsidRPr="00AF41CC">
        <w:rPr>
          <w:rFonts w:ascii="Times New Roman" w:hAnsi="Times New Roman" w:cs="Times New Roman"/>
          <w:sz w:val="24"/>
          <w:szCs w:val="24"/>
        </w:rPr>
        <w:t>,</w:t>
      </w:r>
      <w:r w:rsidR="00332BEB" w:rsidRPr="00AF41CC">
        <w:rPr>
          <w:rFonts w:ascii="Times New Roman" w:hAnsi="Times New Roman" w:cs="Times New Roman"/>
          <w:sz w:val="24"/>
          <w:szCs w:val="24"/>
        </w:rPr>
        <w:t xml:space="preserve"> a dû concilier </w:t>
      </w:r>
      <w:r w:rsidR="001774A6" w:rsidRPr="00AF41CC">
        <w:rPr>
          <w:rFonts w:ascii="Times New Roman" w:hAnsi="Times New Roman" w:cs="Times New Roman"/>
          <w:sz w:val="24"/>
          <w:szCs w:val="24"/>
        </w:rPr>
        <w:t>s</w:t>
      </w:r>
      <w:r w:rsidR="00B65F32" w:rsidRPr="00AF41CC">
        <w:rPr>
          <w:rFonts w:ascii="Times New Roman" w:hAnsi="Times New Roman" w:cs="Times New Roman"/>
          <w:sz w:val="24"/>
          <w:szCs w:val="24"/>
        </w:rPr>
        <w:t xml:space="preserve">a logique de puissance </w:t>
      </w:r>
      <w:r w:rsidR="001774A6" w:rsidRPr="00AF41CC">
        <w:rPr>
          <w:rFonts w:ascii="Times New Roman" w:hAnsi="Times New Roman" w:cs="Times New Roman"/>
          <w:sz w:val="24"/>
          <w:szCs w:val="24"/>
        </w:rPr>
        <w:t>avec le</w:t>
      </w:r>
      <w:r w:rsidR="00B65F32" w:rsidRPr="00AF41CC">
        <w:rPr>
          <w:rFonts w:ascii="Times New Roman" w:hAnsi="Times New Roman" w:cs="Times New Roman"/>
          <w:sz w:val="24"/>
          <w:szCs w:val="24"/>
        </w:rPr>
        <w:t xml:space="preserve"> jeu de la richesse capitaliste.</w:t>
      </w:r>
    </w:p>
    <w:p w14:paraId="55C9EED5" w14:textId="39AC1A4E" w:rsidR="0060618E" w:rsidRPr="00AF41CC" w:rsidRDefault="000D1EA3" w:rsidP="005D3353">
      <w:pPr>
        <w:spacing w:line="360" w:lineRule="auto"/>
        <w:jc w:val="both"/>
        <w:rPr>
          <w:rFonts w:ascii="Times New Roman" w:hAnsi="Times New Roman" w:cs="Times New Roman"/>
          <w:sz w:val="24"/>
          <w:szCs w:val="24"/>
        </w:rPr>
      </w:pPr>
      <w:r w:rsidRPr="00AF41CC">
        <w:rPr>
          <w:rFonts w:ascii="Times New Roman" w:hAnsi="Times New Roman" w:cs="Times New Roman"/>
          <w:sz w:val="24"/>
          <w:szCs w:val="24"/>
        </w:rPr>
        <w:t>L</w:t>
      </w:r>
      <w:r w:rsidR="00B65F32" w:rsidRPr="00AF41CC">
        <w:rPr>
          <w:rFonts w:ascii="Times New Roman" w:hAnsi="Times New Roman" w:cs="Times New Roman"/>
          <w:sz w:val="24"/>
          <w:szCs w:val="24"/>
        </w:rPr>
        <w:t xml:space="preserve">’État souverain moderne utilise </w:t>
      </w:r>
      <w:r w:rsidRPr="00AF41CC">
        <w:rPr>
          <w:rFonts w:ascii="Times New Roman" w:hAnsi="Times New Roman" w:cs="Times New Roman"/>
          <w:sz w:val="24"/>
          <w:szCs w:val="24"/>
        </w:rPr>
        <w:t xml:space="preserve">tous les moyens </w:t>
      </w:r>
      <w:r w:rsidR="000C5C30" w:rsidRPr="00AF41CC">
        <w:rPr>
          <w:rFonts w:ascii="Times New Roman" w:hAnsi="Times New Roman" w:cs="Times New Roman"/>
          <w:sz w:val="24"/>
          <w:szCs w:val="24"/>
        </w:rPr>
        <w:t xml:space="preserve">à sa disposition </w:t>
      </w:r>
      <w:r w:rsidR="00B65F32" w:rsidRPr="00AF41CC">
        <w:rPr>
          <w:rFonts w:ascii="Times New Roman" w:hAnsi="Times New Roman" w:cs="Times New Roman"/>
          <w:sz w:val="24"/>
          <w:szCs w:val="24"/>
        </w:rPr>
        <w:t>pour renforcer sa propre puissance</w:t>
      </w:r>
      <w:r w:rsidR="00677E82" w:rsidRPr="00AF41CC">
        <w:rPr>
          <w:rFonts w:ascii="Times New Roman" w:hAnsi="Times New Roman" w:cs="Times New Roman"/>
          <w:sz w:val="24"/>
          <w:szCs w:val="24"/>
        </w:rPr>
        <w:t>, et parmi ses moyens, il</w:t>
      </w:r>
      <w:r w:rsidR="00575932" w:rsidRPr="00AF41CC">
        <w:rPr>
          <w:rFonts w:ascii="Times New Roman" w:hAnsi="Times New Roman" w:cs="Times New Roman"/>
          <w:sz w:val="24"/>
          <w:szCs w:val="24"/>
        </w:rPr>
        <w:t xml:space="preserve"> ne peut pas ne pas inscrire la richesse capitaliste</w:t>
      </w:r>
      <w:r w:rsidRPr="00AF41CC">
        <w:rPr>
          <w:rFonts w:ascii="Times New Roman" w:hAnsi="Times New Roman" w:cs="Times New Roman"/>
          <w:sz w:val="24"/>
          <w:szCs w:val="24"/>
        </w:rPr>
        <w:t xml:space="preserve">. </w:t>
      </w:r>
      <w:r w:rsidR="00332BEB" w:rsidRPr="00AF41CC">
        <w:rPr>
          <w:rFonts w:ascii="Times New Roman" w:hAnsi="Times New Roman" w:cs="Times New Roman"/>
          <w:sz w:val="24"/>
          <w:szCs w:val="24"/>
        </w:rPr>
        <w:t>L’ensemble des mesures étatiques en matière économique que l’on range sous la rubrique trop peu précise de « mercantilisme » ou de « système mercantile », pour reprendre l’expression inventée par Adam Smith, est inséparable de</w:t>
      </w:r>
      <w:r w:rsidR="008C67CA" w:rsidRPr="00AF41CC">
        <w:rPr>
          <w:rFonts w:ascii="Times New Roman" w:hAnsi="Times New Roman" w:cs="Times New Roman"/>
          <w:sz w:val="24"/>
          <w:szCs w:val="24"/>
        </w:rPr>
        <w:t xml:space="preserve">s débuts de </w:t>
      </w:r>
      <w:r w:rsidR="00332BEB" w:rsidRPr="00AF41CC">
        <w:rPr>
          <w:rFonts w:ascii="Times New Roman" w:hAnsi="Times New Roman" w:cs="Times New Roman"/>
          <w:sz w:val="24"/>
          <w:szCs w:val="24"/>
        </w:rPr>
        <w:t xml:space="preserve">la construction des États modernes et de la naissance des nations, </w:t>
      </w:r>
      <w:r w:rsidR="00677E82" w:rsidRPr="00AF41CC">
        <w:rPr>
          <w:rFonts w:ascii="Times New Roman" w:hAnsi="Times New Roman" w:cs="Times New Roman"/>
          <w:sz w:val="24"/>
          <w:szCs w:val="24"/>
        </w:rPr>
        <w:t>puisque certains historiens remontent</w:t>
      </w:r>
      <w:r w:rsidR="00332BEB" w:rsidRPr="00AF41CC">
        <w:rPr>
          <w:rFonts w:ascii="Times New Roman" w:hAnsi="Times New Roman" w:cs="Times New Roman"/>
          <w:sz w:val="24"/>
          <w:szCs w:val="24"/>
        </w:rPr>
        <w:t xml:space="preserve"> jusqu’à Frédéric II de Sicile pour en repérer les premiers traits. </w:t>
      </w:r>
      <w:r w:rsidR="00A47793" w:rsidRPr="00AF41CC">
        <w:rPr>
          <w:rFonts w:ascii="Times New Roman" w:hAnsi="Times New Roman" w:cs="Times New Roman"/>
          <w:sz w:val="24"/>
          <w:szCs w:val="24"/>
        </w:rPr>
        <w:t xml:space="preserve">Le but de ce « mercantilisme », </w:t>
      </w:r>
      <w:r w:rsidR="00332BEB" w:rsidRPr="00AF41CC">
        <w:rPr>
          <w:rFonts w:ascii="Times New Roman" w:hAnsi="Times New Roman" w:cs="Times New Roman"/>
          <w:sz w:val="24"/>
          <w:szCs w:val="24"/>
        </w:rPr>
        <w:t>c’est la puissance étatique par un usage stratégique de la politique économique. C’est vrai sur le plan interne</w:t>
      </w:r>
      <w:r w:rsidR="008C67CA" w:rsidRPr="00AF41CC">
        <w:rPr>
          <w:rFonts w:ascii="Times New Roman" w:hAnsi="Times New Roman" w:cs="Times New Roman"/>
          <w:sz w:val="24"/>
          <w:szCs w:val="24"/>
        </w:rPr>
        <w:t>,</w:t>
      </w:r>
      <w:r w:rsidR="00332BEB" w:rsidRPr="00AF41CC">
        <w:rPr>
          <w:rFonts w:ascii="Times New Roman" w:hAnsi="Times New Roman" w:cs="Times New Roman"/>
          <w:sz w:val="24"/>
          <w:szCs w:val="24"/>
        </w:rPr>
        <w:t xml:space="preserve"> avec la création d’un marché national, </w:t>
      </w:r>
      <w:r w:rsidR="008C67CA" w:rsidRPr="00AF41CC">
        <w:rPr>
          <w:rFonts w:ascii="Times New Roman" w:hAnsi="Times New Roman" w:cs="Times New Roman"/>
          <w:sz w:val="24"/>
          <w:szCs w:val="24"/>
        </w:rPr>
        <w:t xml:space="preserve">ce qui </w:t>
      </w:r>
      <w:r w:rsidR="00D16174" w:rsidRPr="00AF41CC">
        <w:rPr>
          <w:rFonts w:ascii="Times New Roman" w:hAnsi="Times New Roman" w:cs="Times New Roman"/>
          <w:sz w:val="24"/>
          <w:szCs w:val="24"/>
        </w:rPr>
        <w:t>passe</w:t>
      </w:r>
      <w:r w:rsidR="00332BEB" w:rsidRPr="00AF41CC">
        <w:rPr>
          <w:rFonts w:ascii="Times New Roman" w:hAnsi="Times New Roman" w:cs="Times New Roman"/>
          <w:sz w:val="24"/>
          <w:szCs w:val="24"/>
        </w:rPr>
        <w:t xml:space="preserve"> par la destruction de tous les particularismes locaux et notamment des pratiques protectionnistes des villes, comme sur le plan externe. Karl Polanyi a bien saisi le lien entre cette unification interne et la politique extérieure : « En politique étrangère, la nécessité du moment voulait la création d’une puissance souveraine ; la politique mercantiliste supposait par conséquent que les ressources du territoire national tout entier fussent mises au service des objectifs de puissance que l’on visait à l’extérieur. En politique intérieure, l’unification des pays morcelés par le particularisme féodal et municipal était le sous-produit nécessaire d’une pareille entreprise »</w:t>
      </w:r>
      <w:r w:rsidR="00332BEB" w:rsidRPr="00AF41CC">
        <w:rPr>
          <w:rStyle w:val="Appelnotedebasdep"/>
          <w:rFonts w:ascii="Times New Roman" w:hAnsi="Times New Roman" w:cs="Times New Roman"/>
          <w:sz w:val="24"/>
          <w:szCs w:val="24"/>
        </w:rPr>
        <w:footnoteReference w:id="18"/>
      </w:r>
      <w:r w:rsidR="00332BEB" w:rsidRPr="00AF41CC">
        <w:rPr>
          <w:rFonts w:ascii="Times New Roman" w:hAnsi="Times New Roman" w:cs="Times New Roman"/>
          <w:sz w:val="24"/>
          <w:szCs w:val="24"/>
        </w:rPr>
        <w:t>. Le « partage du monde » et les avantages que l’on peut tire</w:t>
      </w:r>
      <w:r w:rsidR="00A47793" w:rsidRPr="00AF41CC">
        <w:rPr>
          <w:rFonts w:ascii="Times New Roman" w:hAnsi="Times New Roman" w:cs="Times New Roman"/>
          <w:sz w:val="24"/>
          <w:szCs w:val="24"/>
        </w:rPr>
        <w:t>r du commerce lointain sont d’autres instruments de la puissance</w:t>
      </w:r>
      <w:r w:rsidR="00332BEB" w:rsidRPr="00AF41CC">
        <w:rPr>
          <w:rFonts w:ascii="Times New Roman" w:hAnsi="Times New Roman" w:cs="Times New Roman"/>
          <w:sz w:val="24"/>
          <w:szCs w:val="24"/>
        </w:rPr>
        <w:t xml:space="preserve"> dans un contexte de </w:t>
      </w:r>
      <w:r w:rsidR="00E8757D" w:rsidRPr="00AF41CC">
        <w:rPr>
          <w:rFonts w:ascii="Times New Roman" w:hAnsi="Times New Roman" w:cs="Times New Roman"/>
          <w:sz w:val="24"/>
          <w:szCs w:val="24"/>
        </w:rPr>
        <w:t xml:space="preserve">rivalité </w:t>
      </w:r>
      <w:r w:rsidR="00332BEB" w:rsidRPr="00AF41CC">
        <w:rPr>
          <w:rFonts w:ascii="Times New Roman" w:hAnsi="Times New Roman" w:cs="Times New Roman"/>
          <w:sz w:val="24"/>
          <w:szCs w:val="24"/>
        </w:rPr>
        <w:t>permanente</w:t>
      </w:r>
      <w:r w:rsidR="00AA48B4" w:rsidRPr="00AF41CC">
        <w:rPr>
          <w:rFonts w:ascii="Times New Roman" w:hAnsi="Times New Roman" w:cs="Times New Roman"/>
          <w:sz w:val="24"/>
          <w:szCs w:val="24"/>
        </w:rPr>
        <w:t xml:space="preserve"> </w:t>
      </w:r>
      <w:r w:rsidR="00332BEB" w:rsidRPr="00AF41CC">
        <w:rPr>
          <w:rFonts w:ascii="Times New Roman" w:hAnsi="Times New Roman" w:cs="Times New Roman"/>
          <w:sz w:val="24"/>
          <w:szCs w:val="24"/>
        </w:rPr>
        <w:t xml:space="preserve">entre États. </w:t>
      </w:r>
      <w:r w:rsidR="0060618E" w:rsidRPr="00AF41CC">
        <w:rPr>
          <w:rFonts w:ascii="Times New Roman" w:hAnsi="Times New Roman" w:cs="Times New Roman"/>
          <w:sz w:val="24"/>
          <w:szCs w:val="24"/>
        </w:rPr>
        <w:t xml:space="preserve">Ces derniers </w:t>
      </w:r>
      <w:r w:rsidR="00C067A4" w:rsidRPr="00AF41CC">
        <w:rPr>
          <w:rFonts w:ascii="Times New Roman" w:hAnsi="Times New Roman" w:cs="Times New Roman"/>
          <w:sz w:val="24"/>
          <w:szCs w:val="24"/>
        </w:rPr>
        <w:t xml:space="preserve">n’ont cessé d’instrumentaliser les échanges internationaux de marchandises et de capitaux en fonction des besoins des économies nationales et selon leurs propres logiques de puissance. </w:t>
      </w:r>
      <w:r w:rsidR="0060618E" w:rsidRPr="00AF41CC">
        <w:rPr>
          <w:rFonts w:ascii="Times New Roman" w:hAnsi="Times New Roman" w:cs="Times New Roman"/>
          <w:sz w:val="24"/>
          <w:szCs w:val="24"/>
        </w:rPr>
        <w:t xml:space="preserve">Ce </w:t>
      </w:r>
      <w:r w:rsidR="00C067A4" w:rsidRPr="00AF41CC">
        <w:rPr>
          <w:rFonts w:ascii="Times New Roman" w:hAnsi="Times New Roman" w:cs="Times New Roman"/>
          <w:sz w:val="24"/>
          <w:szCs w:val="24"/>
        </w:rPr>
        <w:t xml:space="preserve">commerce lointain, qui semble le plus échapper à toute emprise nationale, reste un moyen de renforcement de l’État. </w:t>
      </w:r>
    </w:p>
    <w:p w14:paraId="38AE0895" w14:textId="3D8C5EED" w:rsidR="00575932" w:rsidRPr="00AF41CC" w:rsidRDefault="0060618E" w:rsidP="005D3353">
      <w:pPr>
        <w:spacing w:line="360" w:lineRule="auto"/>
        <w:jc w:val="both"/>
        <w:rPr>
          <w:rFonts w:ascii="Times New Roman" w:hAnsi="Times New Roman" w:cs="Times New Roman"/>
          <w:sz w:val="24"/>
          <w:szCs w:val="24"/>
        </w:rPr>
      </w:pPr>
      <w:r w:rsidRPr="00AF41CC">
        <w:rPr>
          <w:rFonts w:ascii="Times New Roman" w:hAnsi="Times New Roman" w:cs="Times New Roman"/>
          <w:sz w:val="24"/>
          <w:szCs w:val="24"/>
        </w:rPr>
        <w:t xml:space="preserve">Le point </w:t>
      </w:r>
      <w:r w:rsidR="002040EE" w:rsidRPr="00AF41CC">
        <w:rPr>
          <w:rFonts w:ascii="Times New Roman" w:hAnsi="Times New Roman" w:cs="Times New Roman"/>
          <w:sz w:val="24"/>
          <w:szCs w:val="24"/>
        </w:rPr>
        <w:t xml:space="preserve">du </w:t>
      </w:r>
      <w:r w:rsidRPr="00AF41CC">
        <w:rPr>
          <w:rFonts w:ascii="Times New Roman" w:hAnsi="Times New Roman" w:cs="Times New Roman"/>
          <w:sz w:val="24"/>
          <w:szCs w:val="24"/>
        </w:rPr>
        <w:t>mercantili</w:t>
      </w:r>
      <w:r w:rsidR="002040EE" w:rsidRPr="00AF41CC">
        <w:rPr>
          <w:rFonts w:ascii="Times New Roman" w:hAnsi="Times New Roman" w:cs="Times New Roman"/>
          <w:sz w:val="24"/>
          <w:szCs w:val="24"/>
        </w:rPr>
        <w:t>sm</w:t>
      </w:r>
      <w:r w:rsidRPr="00AF41CC">
        <w:rPr>
          <w:rFonts w:ascii="Times New Roman" w:hAnsi="Times New Roman" w:cs="Times New Roman"/>
          <w:sz w:val="24"/>
          <w:szCs w:val="24"/>
        </w:rPr>
        <w:t xml:space="preserve">e </w:t>
      </w:r>
      <w:r w:rsidR="00A47793" w:rsidRPr="00AF41CC">
        <w:rPr>
          <w:rFonts w:ascii="Times New Roman" w:hAnsi="Times New Roman" w:cs="Times New Roman"/>
          <w:sz w:val="24"/>
          <w:szCs w:val="24"/>
        </w:rPr>
        <w:t xml:space="preserve">le plus </w:t>
      </w:r>
      <w:r w:rsidR="00575932" w:rsidRPr="00AF41CC">
        <w:rPr>
          <w:rFonts w:ascii="Times New Roman" w:hAnsi="Times New Roman" w:cs="Times New Roman"/>
          <w:sz w:val="24"/>
          <w:szCs w:val="24"/>
        </w:rPr>
        <w:t xml:space="preserve">attaqué par les libéraux ultérieurs </w:t>
      </w:r>
      <w:r w:rsidR="00A47793" w:rsidRPr="00AF41CC">
        <w:rPr>
          <w:rFonts w:ascii="Times New Roman" w:hAnsi="Times New Roman" w:cs="Times New Roman"/>
          <w:sz w:val="24"/>
          <w:szCs w:val="24"/>
        </w:rPr>
        <w:t xml:space="preserve">n’est pas l’idée que la prospérité des sujets est la condition de celle du Prince et inversement. Il </w:t>
      </w:r>
      <w:r w:rsidRPr="00AF41CC">
        <w:rPr>
          <w:rFonts w:ascii="Times New Roman" w:hAnsi="Times New Roman" w:cs="Times New Roman"/>
          <w:sz w:val="24"/>
          <w:szCs w:val="24"/>
        </w:rPr>
        <w:t xml:space="preserve">est de croire que dans le commerce entre nations le jeu est à somme nulle. Voltaire l’a résumé ainsi : « Il est clair </w:t>
      </w:r>
      <w:r w:rsidRPr="00AF41CC">
        <w:rPr>
          <w:rFonts w:ascii="Times New Roman" w:hAnsi="Times New Roman" w:cs="Times New Roman"/>
          <w:sz w:val="24"/>
          <w:szCs w:val="24"/>
        </w:rPr>
        <w:lastRenderedPageBreak/>
        <w:t>qu’un pays ne peut gagner sans qu’un autre perde »</w:t>
      </w:r>
      <w:r w:rsidRPr="00AF41CC">
        <w:rPr>
          <w:rStyle w:val="Appelnotedebasdep"/>
          <w:rFonts w:ascii="Times New Roman" w:hAnsi="Times New Roman" w:cs="Times New Roman"/>
          <w:sz w:val="24"/>
          <w:szCs w:val="24"/>
        </w:rPr>
        <w:footnoteReference w:id="19"/>
      </w:r>
      <w:r w:rsidRPr="00AF41CC">
        <w:rPr>
          <w:rFonts w:ascii="Times New Roman" w:hAnsi="Times New Roman" w:cs="Times New Roman"/>
          <w:sz w:val="24"/>
          <w:szCs w:val="24"/>
        </w:rPr>
        <w:t>. Lois sur les importations et les exportations, actes de navigation, régimes de « l’Exclusif », monopoles d’État des grandes compagnies de commerce, sont des mesures et des formes commerciales agressives qui visent à accroître l’excédent commercial</w:t>
      </w:r>
      <w:r w:rsidR="00A47793" w:rsidRPr="00AF41CC">
        <w:rPr>
          <w:rFonts w:ascii="Times New Roman" w:hAnsi="Times New Roman" w:cs="Times New Roman"/>
          <w:sz w:val="24"/>
          <w:szCs w:val="24"/>
        </w:rPr>
        <w:t>,</w:t>
      </w:r>
      <w:r w:rsidRPr="00AF41CC">
        <w:rPr>
          <w:rFonts w:ascii="Times New Roman" w:hAnsi="Times New Roman" w:cs="Times New Roman"/>
          <w:sz w:val="24"/>
          <w:szCs w:val="24"/>
        </w:rPr>
        <w:t xml:space="preserve"> en d’autres termes</w:t>
      </w:r>
      <w:r w:rsidR="00084B56" w:rsidRPr="00AF41CC">
        <w:rPr>
          <w:rFonts w:ascii="Times New Roman" w:hAnsi="Times New Roman" w:cs="Times New Roman"/>
          <w:sz w:val="24"/>
          <w:szCs w:val="24"/>
        </w:rPr>
        <w:t>,</w:t>
      </w:r>
      <w:r w:rsidRPr="00AF41CC">
        <w:rPr>
          <w:rFonts w:ascii="Times New Roman" w:hAnsi="Times New Roman" w:cs="Times New Roman"/>
          <w:sz w:val="24"/>
          <w:szCs w:val="24"/>
        </w:rPr>
        <w:t xml:space="preserve"> à s’enrichir aux dépens des autres. </w:t>
      </w:r>
      <w:r w:rsidR="00575932" w:rsidRPr="00AF41CC">
        <w:rPr>
          <w:rFonts w:ascii="Times New Roman" w:hAnsi="Times New Roman" w:cs="Times New Roman"/>
          <w:sz w:val="24"/>
          <w:szCs w:val="24"/>
        </w:rPr>
        <w:t xml:space="preserve">Le commerce, du point de vue de l’État, y </w:t>
      </w:r>
      <w:r w:rsidR="00A47793" w:rsidRPr="00AF41CC">
        <w:rPr>
          <w:rFonts w:ascii="Times New Roman" w:hAnsi="Times New Roman" w:cs="Times New Roman"/>
          <w:sz w:val="24"/>
          <w:szCs w:val="24"/>
        </w:rPr>
        <w:t xml:space="preserve">est </w:t>
      </w:r>
      <w:r w:rsidR="00575932" w:rsidRPr="00AF41CC">
        <w:rPr>
          <w:rFonts w:ascii="Times New Roman" w:hAnsi="Times New Roman" w:cs="Times New Roman"/>
          <w:sz w:val="24"/>
          <w:szCs w:val="24"/>
        </w:rPr>
        <w:t xml:space="preserve">vu comme une guerre. </w:t>
      </w:r>
      <w:r w:rsidR="00084B56" w:rsidRPr="00AF41CC">
        <w:rPr>
          <w:rFonts w:ascii="Times New Roman" w:hAnsi="Times New Roman" w:cs="Times New Roman"/>
          <w:sz w:val="24"/>
          <w:szCs w:val="24"/>
        </w:rPr>
        <w:t xml:space="preserve">Il </w:t>
      </w:r>
      <w:r w:rsidR="00575932" w:rsidRPr="00AF41CC">
        <w:rPr>
          <w:rFonts w:ascii="Times New Roman" w:hAnsi="Times New Roman" w:cs="Times New Roman"/>
          <w:sz w:val="24"/>
          <w:szCs w:val="24"/>
        </w:rPr>
        <w:t>est le moyen d’accumuler les métaux précieux au sein de la nation, lieu commun sur le plan pratique des économistes et gens d’État jusqu’au XVIIIe siècle tardif</w:t>
      </w:r>
      <w:r w:rsidR="00575932" w:rsidRPr="00AF41CC">
        <w:rPr>
          <w:rStyle w:val="Appelnotedebasdep"/>
          <w:rFonts w:ascii="Times New Roman" w:hAnsi="Times New Roman" w:cs="Times New Roman"/>
          <w:sz w:val="24"/>
          <w:szCs w:val="24"/>
        </w:rPr>
        <w:footnoteReference w:id="20"/>
      </w:r>
      <w:r w:rsidR="00575932" w:rsidRPr="00AF41CC">
        <w:rPr>
          <w:rFonts w:ascii="Times New Roman" w:hAnsi="Times New Roman" w:cs="Times New Roman"/>
          <w:sz w:val="24"/>
          <w:szCs w:val="24"/>
        </w:rPr>
        <w:t>. La puissance de l’État, c’est par la guerre qu’on la maintient et la guerre suppose toujours plus d’argent. Sismondi, après Adam Smith, a simplifié la formule du « système mercantile » pour mieux le critiquer : « l’argent fait la force des armées et assure le succès de la guerre ; le peuple qui en a commande à celui qui n’en a pas. Toute la science de l’économie politique doit donc avoir pour but de donner à la nation beaucoup d’argent »</w:t>
      </w:r>
      <w:r w:rsidR="00575932" w:rsidRPr="00AF41CC">
        <w:rPr>
          <w:rStyle w:val="Appelnotedebasdep"/>
          <w:rFonts w:ascii="Times New Roman" w:hAnsi="Times New Roman" w:cs="Times New Roman"/>
          <w:sz w:val="24"/>
          <w:szCs w:val="24"/>
        </w:rPr>
        <w:footnoteReference w:id="21"/>
      </w:r>
      <w:r w:rsidR="00575932" w:rsidRPr="00AF41CC">
        <w:rPr>
          <w:rFonts w:ascii="Times New Roman" w:hAnsi="Times New Roman" w:cs="Times New Roman"/>
          <w:sz w:val="24"/>
          <w:szCs w:val="24"/>
        </w:rPr>
        <w:t xml:space="preserve">. </w:t>
      </w:r>
    </w:p>
    <w:p w14:paraId="5BD7C873" w14:textId="323423EB" w:rsidR="00B65F32" w:rsidRPr="00AF41CC" w:rsidRDefault="00F45C13" w:rsidP="005D3353">
      <w:pPr>
        <w:spacing w:line="360" w:lineRule="auto"/>
        <w:jc w:val="both"/>
        <w:rPr>
          <w:rFonts w:ascii="Times New Roman" w:hAnsi="Times New Roman" w:cs="Times New Roman"/>
          <w:sz w:val="24"/>
          <w:szCs w:val="24"/>
        </w:rPr>
      </w:pPr>
      <w:r w:rsidRPr="00AF41CC">
        <w:rPr>
          <w:rFonts w:ascii="Times New Roman" w:hAnsi="Times New Roman" w:cs="Times New Roman"/>
          <w:sz w:val="24"/>
          <w:szCs w:val="24"/>
        </w:rPr>
        <w:t>C</w:t>
      </w:r>
      <w:r w:rsidR="008C1A0F" w:rsidRPr="00AF41CC">
        <w:rPr>
          <w:rFonts w:ascii="Times New Roman" w:hAnsi="Times New Roman" w:cs="Times New Roman"/>
          <w:sz w:val="24"/>
          <w:szCs w:val="24"/>
        </w:rPr>
        <w:t>roire que le libé</w:t>
      </w:r>
      <w:r w:rsidR="00392B30" w:rsidRPr="00AF41CC">
        <w:rPr>
          <w:rFonts w:ascii="Times New Roman" w:hAnsi="Times New Roman" w:cs="Times New Roman"/>
          <w:sz w:val="24"/>
          <w:szCs w:val="24"/>
        </w:rPr>
        <w:t>r</w:t>
      </w:r>
      <w:r w:rsidR="008C1A0F" w:rsidRPr="00AF41CC">
        <w:rPr>
          <w:rFonts w:ascii="Times New Roman" w:hAnsi="Times New Roman" w:cs="Times New Roman"/>
          <w:sz w:val="24"/>
          <w:szCs w:val="24"/>
        </w:rPr>
        <w:t xml:space="preserve">alisme </w:t>
      </w:r>
      <w:r w:rsidR="00E8757D" w:rsidRPr="00AF41CC">
        <w:rPr>
          <w:rFonts w:ascii="Times New Roman" w:hAnsi="Times New Roman" w:cs="Times New Roman"/>
          <w:sz w:val="24"/>
          <w:szCs w:val="24"/>
        </w:rPr>
        <w:t xml:space="preserve">a simplement rompu </w:t>
      </w:r>
      <w:r w:rsidR="008C1A0F" w:rsidRPr="00AF41CC">
        <w:rPr>
          <w:rFonts w:ascii="Times New Roman" w:hAnsi="Times New Roman" w:cs="Times New Roman"/>
          <w:sz w:val="24"/>
          <w:szCs w:val="24"/>
        </w:rPr>
        <w:t>avec la logique de puissance</w:t>
      </w:r>
      <w:r w:rsidR="00B4132C" w:rsidRPr="00AF41CC">
        <w:rPr>
          <w:rFonts w:ascii="Times New Roman" w:hAnsi="Times New Roman" w:cs="Times New Roman"/>
          <w:sz w:val="24"/>
          <w:szCs w:val="24"/>
        </w:rPr>
        <w:t xml:space="preserve"> serait céder à une illusion trop facile</w:t>
      </w:r>
      <w:r w:rsidR="008C1A0F" w:rsidRPr="00AF41CC">
        <w:rPr>
          <w:rFonts w:ascii="Times New Roman" w:hAnsi="Times New Roman" w:cs="Times New Roman"/>
          <w:sz w:val="24"/>
          <w:szCs w:val="24"/>
        </w:rPr>
        <w:t xml:space="preserve">. </w:t>
      </w:r>
      <w:r w:rsidR="00E8757D" w:rsidRPr="00AF41CC">
        <w:rPr>
          <w:rFonts w:ascii="Times New Roman" w:hAnsi="Times New Roman" w:cs="Times New Roman"/>
          <w:sz w:val="24"/>
          <w:szCs w:val="24"/>
        </w:rPr>
        <w:t xml:space="preserve">C’est une légende très tardive que d’avoir laissé penser que les économistes du XVIIIe siècle établissait une antinomie </w:t>
      </w:r>
      <w:r w:rsidR="00A47793" w:rsidRPr="00AF41CC">
        <w:rPr>
          <w:rFonts w:ascii="Times New Roman" w:hAnsi="Times New Roman" w:cs="Times New Roman"/>
          <w:sz w:val="24"/>
          <w:szCs w:val="24"/>
        </w:rPr>
        <w:t xml:space="preserve">stricte </w:t>
      </w:r>
      <w:r w:rsidR="00E8757D" w:rsidRPr="00AF41CC">
        <w:rPr>
          <w:rFonts w:ascii="Times New Roman" w:hAnsi="Times New Roman" w:cs="Times New Roman"/>
          <w:sz w:val="24"/>
          <w:szCs w:val="24"/>
        </w:rPr>
        <w:t xml:space="preserve">entre </w:t>
      </w:r>
      <w:r w:rsidR="00831F9B" w:rsidRPr="00AF41CC">
        <w:rPr>
          <w:rFonts w:ascii="Times New Roman" w:hAnsi="Times New Roman" w:cs="Times New Roman"/>
          <w:sz w:val="24"/>
          <w:szCs w:val="24"/>
        </w:rPr>
        <w:t xml:space="preserve">marché </w:t>
      </w:r>
      <w:r w:rsidR="00E8757D" w:rsidRPr="00AF41CC">
        <w:rPr>
          <w:rFonts w:ascii="Times New Roman" w:hAnsi="Times New Roman" w:cs="Times New Roman"/>
          <w:sz w:val="24"/>
          <w:szCs w:val="24"/>
        </w:rPr>
        <w:t>et État national.</w:t>
      </w:r>
      <w:r w:rsidR="00677E82" w:rsidRPr="00AF41CC">
        <w:rPr>
          <w:rFonts w:ascii="Times New Roman" w:hAnsi="Times New Roman" w:cs="Times New Roman"/>
          <w:sz w:val="24"/>
          <w:szCs w:val="24"/>
        </w:rPr>
        <w:t xml:space="preserve"> L’important pour eux est de faire pencher la balance du côté de la liberté économique plutôt que du côté de l’intervention directe et autoritaire. Mais la liberté des individus n’est pas contraire aux intérêts des Etats, elle est faite pour les servir.  Ainsi la recherche de la richesse économique</w:t>
      </w:r>
      <w:r w:rsidR="00982837" w:rsidRPr="00AF41CC">
        <w:rPr>
          <w:rFonts w:ascii="Times New Roman" w:hAnsi="Times New Roman" w:cs="Times New Roman"/>
          <w:sz w:val="24"/>
          <w:szCs w:val="24"/>
        </w:rPr>
        <w:t xml:space="preserve"> </w:t>
      </w:r>
      <w:r w:rsidR="000D1EA3" w:rsidRPr="00AF41CC">
        <w:rPr>
          <w:rFonts w:ascii="Times New Roman" w:hAnsi="Times New Roman" w:cs="Times New Roman"/>
          <w:sz w:val="24"/>
          <w:szCs w:val="24"/>
        </w:rPr>
        <w:t>n’est pas seulement un moyen de gouverner les individus ou</w:t>
      </w:r>
      <w:r w:rsidR="006961C9" w:rsidRPr="00AF41CC">
        <w:rPr>
          <w:rFonts w:ascii="Times New Roman" w:hAnsi="Times New Roman" w:cs="Times New Roman"/>
          <w:sz w:val="24"/>
          <w:szCs w:val="24"/>
        </w:rPr>
        <w:t>,</w:t>
      </w:r>
      <w:r w:rsidR="000D1EA3" w:rsidRPr="00AF41CC">
        <w:rPr>
          <w:rFonts w:ascii="Times New Roman" w:hAnsi="Times New Roman" w:cs="Times New Roman"/>
          <w:sz w:val="24"/>
          <w:szCs w:val="24"/>
        </w:rPr>
        <w:t xml:space="preserve"> pour parler à la manière de Foucault, </w:t>
      </w:r>
      <w:r w:rsidR="00EB7B3C" w:rsidRPr="00AF41CC">
        <w:rPr>
          <w:rFonts w:ascii="Times New Roman" w:hAnsi="Times New Roman" w:cs="Times New Roman"/>
          <w:sz w:val="24"/>
          <w:szCs w:val="24"/>
        </w:rPr>
        <w:t xml:space="preserve">elle </w:t>
      </w:r>
      <w:r w:rsidR="000D1EA3" w:rsidRPr="00AF41CC">
        <w:rPr>
          <w:rFonts w:ascii="Times New Roman" w:hAnsi="Times New Roman" w:cs="Times New Roman"/>
          <w:sz w:val="24"/>
          <w:szCs w:val="24"/>
        </w:rPr>
        <w:t>n’est pas seulement une technique de gouvernementalité</w:t>
      </w:r>
      <w:r w:rsidR="00B65F32" w:rsidRPr="00AF41CC">
        <w:rPr>
          <w:rFonts w:ascii="Times New Roman" w:hAnsi="Times New Roman" w:cs="Times New Roman"/>
          <w:sz w:val="24"/>
          <w:szCs w:val="24"/>
        </w:rPr>
        <w:t xml:space="preserve">. </w:t>
      </w:r>
      <w:r w:rsidR="00D16FEF" w:rsidRPr="00AF41CC">
        <w:rPr>
          <w:rFonts w:ascii="Times New Roman" w:hAnsi="Times New Roman" w:cs="Times New Roman"/>
          <w:sz w:val="24"/>
          <w:szCs w:val="24"/>
        </w:rPr>
        <w:t>Elle est bien cela, évidemment</w:t>
      </w:r>
      <w:r w:rsidR="000D1EA3" w:rsidRPr="00AF41CC">
        <w:rPr>
          <w:rFonts w:ascii="Times New Roman" w:hAnsi="Times New Roman" w:cs="Times New Roman"/>
          <w:sz w:val="24"/>
          <w:szCs w:val="24"/>
        </w:rPr>
        <w:t>, et l’immense litté</w:t>
      </w:r>
      <w:r w:rsidR="00982837" w:rsidRPr="00AF41CC">
        <w:rPr>
          <w:rFonts w:ascii="Times New Roman" w:hAnsi="Times New Roman" w:cs="Times New Roman"/>
          <w:sz w:val="24"/>
          <w:szCs w:val="24"/>
        </w:rPr>
        <w:t xml:space="preserve">rature qui depuis la fin du XVIe </w:t>
      </w:r>
      <w:r w:rsidR="000D1EA3" w:rsidRPr="00AF41CC">
        <w:rPr>
          <w:rFonts w:ascii="Times New Roman" w:hAnsi="Times New Roman" w:cs="Times New Roman"/>
          <w:sz w:val="24"/>
          <w:szCs w:val="24"/>
        </w:rPr>
        <w:t xml:space="preserve">siècle </w:t>
      </w:r>
      <w:r w:rsidR="00EB7B3C" w:rsidRPr="00AF41CC">
        <w:rPr>
          <w:rFonts w:ascii="Times New Roman" w:hAnsi="Times New Roman" w:cs="Times New Roman"/>
          <w:sz w:val="24"/>
          <w:szCs w:val="24"/>
        </w:rPr>
        <w:t xml:space="preserve">a </w:t>
      </w:r>
      <w:r w:rsidR="000D1EA3" w:rsidRPr="00AF41CC">
        <w:rPr>
          <w:rFonts w:ascii="Times New Roman" w:hAnsi="Times New Roman" w:cs="Times New Roman"/>
          <w:sz w:val="24"/>
          <w:szCs w:val="24"/>
        </w:rPr>
        <w:t>construit la figure de l’homme économique</w:t>
      </w:r>
      <w:r w:rsidR="00EB7B3C" w:rsidRPr="00AF41CC">
        <w:rPr>
          <w:rFonts w:ascii="Times New Roman" w:hAnsi="Times New Roman" w:cs="Times New Roman"/>
          <w:sz w:val="24"/>
          <w:szCs w:val="24"/>
        </w:rPr>
        <w:t xml:space="preserve"> </w:t>
      </w:r>
      <w:r w:rsidR="008C1A0F" w:rsidRPr="00AF41CC">
        <w:rPr>
          <w:rFonts w:ascii="Times New Roman" w:hAnsi="Times New Roman" w:cs="Times New Roman"/>
          <w:sz w:val="24"/>
          <w:szCs w:val="24"/>
        </w:rPr>
        <w:t>gouverna</w:t>
      </w:r>
      <w:r w:rsidR="00D16FEF" w:rsidRPr="00AF41CC">
        <w:rPr>
          <w:rFonts w:ascii="Times New Roman" w:hAnsi="Times New Roman" w:cs="Times New Roman"/>
          <w:sz w:val="24"/>
          <w:szCs w:val="24"/>
        </w:rPr>
        <w:t xml:space="preserve">ble par son intérêt égoïste </w:t>
      </w:r>
      <w:r w:rsidR="00EB7B3C" w:rsidRPr="00AF41CC">
        <w:rPr>
          <w:rFonts w:ascii="Times New Roman" w:hAnsi="Times New Roman" w:cs="Times New Roman"/>
          <w:sz w:val="24"/>
          <w:szCs w:val="24"/>
        </w:rPr>
        <w:t>en témoigne, mais l’intérêt pour l’accroissement des</w:t>
      </w:r>
      <w:r w:rsidR="00982837" w:rsidRPr="00AF41CC">
        <w:rPr>
          <w:rFonts w:ascii="Times New Roman" w:hAnsi="Times New Roman" w:cs="Times New Roman"/>
          <w:sz w:val="24"/>
          <w:szCs w:val="24"/>
        </w:rPr>
        <w:t xml:space="preserve"> </w:t>
      </w:r>
      <w:r w:rsidR="00332BEB" w:rsidRPr="00AF41CC">
        <w:rPr>
          <w:rFonts w:ascii="Times New Roman" w:hAnsi="Times New Roman" w:cs="Times New Roman"/>
          <w:sz w:val="24"/>
          <w:szCs w:val="24"/>
        </w:rPr>
        <w:t>biens possédés et des jouissances de consommation sur le plan individuel, en même temps qu’il</w:t>
      </w:r>
      <w:r w:rsidR="00982837" w:rsidRPr="00AF41CC">
        <w:rPr>
          <w:rFonts w:ascii="Times New Roman" w:hAnsi="Times New Roman" w:cs="Times New Roman"/>
          <w:sz w:val="24"/>
          <w:szCs w:val="24"/>
        </w:rPr>
        <w:t xml:space="preserve"> </w:t>
      </w:r>
      <w:r w:rsidR="00332BEB" w:rsidRPr="00AF41CC">
        <w:rPr>
          <w:rFonts w:ascii="Times New Roman" w:hAnsi="Times New Roman" w:cs="Times New Roman"/>
          <w:sz w:val="24"/>
          <w:szCs w:val="24"/>
        </w:rPr>
        <w:t xml:space="preserve">était censé </w:t>
      </w:r>
      <w:r w:rsidR="00EB7B3C" w:rsidRPr="00AF41CC">
        <w:rPr>
          <w:rFonts w:ascii="Times New Roman" w:hAnsi="Times New Roman" w:cs="Times New Roman"/>
          <w:sz w:val="24"/>
          <w:szCs w:val="24"/>
        </w:rPr>
        <w:t>canalise</w:t>
      </w:r>
      <w:r w:rsidR="00332BEB" w:rsidRPr="00AF41CC">
        <w:rPr>
          <w:rFonts w:ascii="Times New Roman" w:hAnsi="Times New Roman" w:cs="Times New Roman"/>
          <w:sz w:val="24"/>
          <w:szCs w:val="24"/>
        </w:rPr>
        <w:t>r</w:t>
      </w:r>
      <w:r w:rsidR="00EB7B3C" w:rsidRPr="00AF41CC">
        <w:rPr>
          <w:rFonts w:ascii="Times New Roman" w:hAnsi="Times New Roman" w:cs="Times New Roman"/>
          <w:sz w:val="24"/>
          <w:szCs w:val="24"/>
        </w:rPr>
        <w:t xml:space="preserve"> les « passions »</w:t>
      </w:r>
      <w:r w:rsidR="00332BEB" w:rsidRPr="00AF41CC">
        <w:rPr>
          <w:rFonts w:ascii="Times New Roman" w:hAnsi="Times New Roman" w:cs="Times New Roman"/>
          <w:sz w:val="24"/>
          <w:szCs w:val="24"/>
        </w:rPr>
        <w:t xml:space="preserve">, </w:t>
      </w:r>
      <w:r w:rsidR="00EB7B3C" w:rsidRPr="00AF41CC">
        <w:rPr>
          <w:rFonts w:ascii="Times New Roman" w:hAnsi="Times New Roman" w:cs="Times New Roman"/>
          <w:sz w:val="24"/>
          <w:szCs w:val="24"/>
        </w:rPr>
        <w:t xml:space="preserve">a été pleinement intégré </w:t>
      </w:r>
      <w:r w:rsidR="00D16FEF" w:rsidRPr="00AF41CC">
        <w:rPr>
          <w:rFonts w:ascii="Times New Roman" w:hAnsi="Times New Roman" w:cs="Times New Roman"/>
          <w:sz w:val="24"/>
          <w:szCs w:val="24"/>
        </w:rPr>
        <w:t xml:space="preserve">dans la logique </w:t>
      </w:r>
      <w:r w:rsidR="00084B56" w:rsidRPr="00AF41CC">
        <w:rPr>
          <w:rFonts w:ascii="Times New Roman" w:hAnsi="Times New Roman" w:cs="Times New Roman"/>
          <w:sz w:val="24"/>
          <w:szCs w:val="24"/>
        </w:rPr>
        <w:t xml:space="preserve">de la </w:t>
      </w:r>
      <w:r w:rsidR="00D16FEF" w:rsidRPr="00AF41CC">
        <w:rPr>
          <w:rFonts w:ascii="Times New Roman" w:hAnsi="Times New Roman" w:cs="Times New Roman"/>
          <w:sz w:val="24"/>
          <w:szCs w:val="24"/>
        </w:rPr>
        <w:t>souverain</w:t>
      </w:r>
      <w:r w:rsidR="00084B56" w:rsidRPr="00AF41CC">
        <w:rPr>
          <w:rFonts w:ascii="Times New Roman" w:hAnsi="Times New Roman" w:cs="Times New Roman"/>
          <w:sz w:val="24"/>
          <w:szCs w:val="24"/>
        </w:rPr>
        <w:t>eté</w:t>
      </w:r>
      <w:r w:rsidR="00D16FEF" w:rsidRPr="00AF41CC">
        <w:rPr>
          <w:rFonts w:ascii="Times New Roman" w:hAnsi="Times New Roman" w:cs="Times New Roman"/>
          <w:sz w:val="24"/>
          <w:szCs w:val="24"/>
        </w:rPr>
        <w:t xml:space="preserve">, </w:t>
      </w:r>
      <w:r w:rsidR="00EB7B3C" w:rsidRPr="00AF41CC">
        <w:rPr>
          <w:rFonts w:ascii="Times New Roman" w:hAnsi="Times New Roman" w:cs="Times New Roman"/>
          <w:sz w:val="24"/>
          <w:szCs w:val="24"/>
        </w:rPr>
        <w:t xml:space="preserve">comme une </w:t>
      </w:r>
      <w:r w:rsidR="00D16FEF" w:rsidRPr="00AF41CC">
        <w:rPr>
          <w:rFonts w:ascii="Times New Roman" w:hAnsi="Times New Roman" w:cs="Times New Roman"/>
          <w:sz w:val="24"/>
          <w:szCs w:val="24"/>
        </w:rPr>
        <w:t xml:space="preserve">source </w:t>
      </w:r>
      <w:r w:rsidR="00EB7B3C" w:rsidRPr="00AF41CC">
        <w:rPr>
          <w:rFonts w:ascii="Times New Roman" w:hAnsi="Times New Roman" w:cs="Times New Roman"/>
          <w:sz w:val="24"/>
          <w:szCs w:val="24"/>
        </w:rPr>
        <w:t>à part entièr</w:t>
      </w:r>
      <w:r w:rsidR="00D16FEF" w:rsidRPr="00AF41CC">
        <w:rPr>
          <w:rFonts w:ascii="Times New Roman" w:hAnsi="Times New Roman" w:cs="Times New Roman"/>
          <w:sz w:val="24"/>
          <w:szCs w:val="24"/>
        </w:rPr>
        <w:t>e de l’intérêt public</w:t>
      </w:r>
      <w:r w:rsidR="0060618E" w:rsidRPr="00AF41CC">
        <w:rPr>
          <w:rFonts w:ascii="Times New Roman" w:hAnsi="Times New Roman" w:cs="Times New Roman"/>
          <w:sz w:val="24"/>
          <w:szCs w:val="24"/>
        </w:rPr>
        <w:t xml:space="preserve">. </w:t>
      </w:r>
      <w:r w:rsidR="00D16FEF" w:rsidRPr="00AF41CC">
        <w:rPr>
          <w:rFonts w:ascii="Times New Roman" w:hAnsi="Times New Roman" w:cs="Times New Roman"/>
          <w:sz w:val="24"/>
          <w:szCs w:val="24"/>
        </w:rPr>
        <w:t xml:space="preserve">On mésestime sur ce point l’importance de la physiocratie française parce qu’on ne retient d’elle que son « erreur » sur l’origine de la richesse. C’est elle pourtant qui a fait le plus grand effort doctrinal pour fondre ensemble un souverainisme étatiste radical, et même fanatique, et l’apologie du </w:t>
      </w:r>
      <w:r w:rsidR="00D16FEF" w:rsidRPr="00AF41CC">
        <w:rPr>
          <w:rFonts w:ascii="Times New Roman" w:hAnsi="Times New Roman" w:cs="Times New Roman"/>
          <w:sz w:val="24"/>
          <w:szCs w:val="24"/>
        </w:rPr>
        <w:lastRenderedPageBreak/>
        <w:t xml:space="preserve">« laisser-faire laisser passer ».  Le libéralisme n’est pas </w:t>
      </w:r>
      <w:r w:rsidR="00B074B7" w:rsidRPr="00AF41CC">
        <w:rPr>
          <w:rFonts w:ascii="Times New Roman" w:hAnsi="Times New Roman" w:cs="Times New Roman"/>
          <w:sz w:val="24"/>
          <w:szCs w:val="24"/>
        </w:rPr>
        <w:t>tout uni</w:t>
      </w:r>
      <w:r w:rsidR="00D16FEF" w:rsidRPr="00AF41CC">
        <w:rPr>
          <w:rFonts w:ascii="Times New Roman" w:hAnsi="Times New Roman" w:cs="Times New Roman"/>
          <w:sz w:val="24"/>
          <w:szCs w:val="24"/>
        </w:rPr>
        <w:t xml:space="preserve">ment anti-souverainiste, il est une conjugaison de deux </w:t>
      </w:r>
      <w:r w:rsidR="003F2A54" w:rsidRPr="00AF41CC">
        <w:rPr>
          <w:rFonts w:ascii="Times New Roman" w:hAnsi="Times New Roman" w:cs="Times New Roman"/>
          <w:sz w:val="24"/>
          <w:szCs w:val="24"/>
        </w:rPr>
        <w:t xml:space="preserve">« esprits » </w:t>
      </w:r>
      <w:r w:rsidR="00D16FEF" w:rsidRPr="00AF41CC">
        <w:rPr>
          <w:rFonts w:ascii="Times New Roman" w:hAnsi="Times New Roman" w:cs="Times New Roman"/>
          <w:sz w:val="24"/>
          <w:szCs w:val="24"/>
        </w:rPr>
        <w:t>différents, « l’esprit de commerce » et l’esprit de puissance. Le jeu économique n’est pas à somme nulle, tout le monde peut y gagner</w:t>
      </w:r>
      <w:r w:rsidR="00C82789" w:rsidRPr="00AF41CC">
        <w:rPr>
          <w:rFonts w:ascii="Times New Roman" w:hAnsi="Times New Roman" w:cs="Times New Roman"/>
          <w:sz w:val="24"/>
          <w:szCs w:val="24"/>
        </w:rPr>
        <w:t>, voilà le point clé</w:t>
      </w:r>
      <w:r w:rsidR="00D16FEF" w:rsidRPr="00AF41CC">
        <w:rPr>
          <w:rFonts w:ascii="Times New Roman" w:hAnsi="Times New Roman" w:cs="Times New Roman"/>
          <w:sz w:val="24"/>
          <w:szCs w:val="24"/>
        </w:rPr>
        <w:t>.</w:t>
      </w:r>
      <w:r w:rsidR="00C82789" w:rsidRPr="00AF41CC">
        <w:rPr>
          <w:rFonts w:ascii="Times New Roman" w:hAnsi="Times New Roman" w:cs="Times New Roman"/>
          <w:sz w:val="24"/>
          <w:szCs w:val="24"/>
        </w:rPr>
        <w:t xml:space="preserve"> Les plus fins ou les plus empiriques </w:t>
      </w:r>
      <w:r w:rsidR="00677E82" w:rsidRPr="00AF41CC">
        <w:rPr>
          <w:rFonts w:ascii="Times New Roman" w:hAnsi="Times New Roman" w:cs="Times New Roman"/>
          <w:sz w:val="24"/>
          <w:szCs w:val="24"/>
        </w:rPr>
        <w:t xml:space="preserve">de ces libéraux du XVIIIe siècle </w:t>
      </w:r>
      <w:r w:rsidR="00C82789" w:rsidRPr="00AF41CC">
        <w:rPr>
          <w:rFonts w:ascii="Times New Roman" w:hAnsi="Times New Roman" w:cs="Times New Roman"/>
          <w:sz w:val="24"/>
          <w:szCs w:val="24"/>
        </w:rPr>
        <w:t xml:space="preserve">n’ont </w:t>
      </w:r>
      <w:r w:rsidR="00991953" w:rsidRPr="00AF41CC">
        <w:rPr>
          <w:rFonts w:ascii="Times New Roman" w:hAnsi="Times New Roman" w:cs="Times New Roman"/>
          <w:sz w:val="24"/>
          <w:szCs w:val="24"/>
        </w:rPr>
        <w:t xml:space="preserve">pourtant </w:t>
      </w:r>
      <w:r w:rsidR="00C82789" w:rsidRPr="00AF41CC">
        <w:rPr>
          <w:rFonts w:ascii="Times New Roman" w:hAnsi="Times New Roman" w:cs="Times New Roman"/>
          <w:sz w:val="24"/>
          <w:szCs w:val="24"/>
        </w:rPr>
        <w:t xml:space="preserve">pas donné dans le dogmatisme physiocratique, conscients de la difficulté </w:t>
      </w:r>
      <w:r w:rsidR="00677E82" w:rsidRPr="00AF41CC">
        <w:rPr>
          <w:rFonts w:ascii="Times New Roman" w:hAnsi="Times New Roman" w:cs="Times New Roman"/>
          <w:sz w:val="24"/>
          <w:szCs w:val="24"/>
        </w:rPr>
        <w:t xml:space="preserve">d’extraire </w:t>
      </w:r>
      <w:r w:rsidR="00C82789" w:rsidRPr="00AF41CC">
        <w:rPr>
          <w:rFonts w:ascii="Times New Roman" w:hAnsi="Times New Roman" w:cs="Times New Roman"/>
          <w:sz w:val="24"/>
          <w:szCs w:val="24"/>
        </w:rPr>
        <w:t>des lois générales</w:t>
      </w:r>
      <w:r w:rsidR="00991953" w:rsidRPr="00AF41CC">
        <w:rPr>
          <w:rFonts w:ascii="Times New Roman" w:hAnsi="Times New Roman" w:cs="Times New Roman"/>
          <w:sz w:val="24"/>
          <w:szCs w:val="24"/>
        </w:rPr>
        <w:t xml:space="preserve"> de</w:t>
      </w:r>
      <w:r w:rsidR="00C82789" w:rsidRPr="00AF41CC">
        <w:rPr>
          <w:rFonts w:ascii="Times New Roman" w:hAnsi="Times New Roman" w:cs="Times New Roman"/>
          <w:sz w:val="24"/>
          <w:szCs w:val="24"/>
        </w:rPr>
        <w:t xml:space="preserve"> l’intrication </w:t>
      </w:r>
      <w:r w:rsidR="00991953" w:rsidRPr="00AF41CC">
        <w:rPr>
          <w:rFonts w:ascii="Times New Roman" w:hAnsi="Times New Roman" w:cs="Times New Roman"/>
          <w:sz w:val="24"/>
          <w:szCs w:val="24"/>
        </w:rPr>
        <w:t xml:space="preserve">à la fois </w:t>
      </w:r>
      <w:r w:rsidR="00C82789" w:rsidRPr="00AF41CC">
        <w:rPr>
          <w:rFonts w:ascii="Times New Roman" w:hAnsi="Times New Roman" w:cs="Times New Roman"/>
          <w:sz w:val="24"/>
          <w:szCs w:val="24"/>
        </w:rPr>
        <w:t xml:space="preserve">complexe </w:t>
      </w:r>
      <w:r w:rsidR="00991953" w:rsidRPr="00AF41CC">
        <w:rPr>
          <w:rFonts w:ascii="Times New Roman" w:hAnsi="Times New Roman" w:cs="Times New Roman"/>
          <w:sz w:val="24"/>
          <w:szCs w:val="24"/>
        </w:rPr>
        <w:t xml:space="preserve">et singulière en chaque situation </w:t>
      </w:r>
      <w:r w:rsidR="00C82789" w:rsidRPr="00AF41CC">
        <w:rPr>
          <w:rFonts w:ascii="Times New Roman" w:hAnsi="Times New Roman" w:cs="Times New Roman"/>
          <w:sz w:val="24"/>
          <w:szCs w:val="24"/>
        </w:rPr>
        <w:t>de</w:t>
      </w:r>
      <w:r w:rsidR="00991953" w:rsidRPr="00AF41CC">
        <w:rPr>
          <w:rFonts w:ascii="Times New Roman" w:hAnsi="Times New Roman" w:cs="Times New Roman"/>
          <w:sz w:val="24"/>
          <w:szCs w:val="24"/>
        </w:rPr>
        <w:t xml:space="preserve">s affaires publiques et privées. </w:t>
      </w:r>
      <w:r w:rsidR="00B65F32" w:rsidRPr="00AF41CC">
        <w:rPr>
          <w:rFonts w:ascii="Times New Roman" w:hAnsi="Times New Roman" w:cs="Times New Roman"/>
          <w:sz w:val="24"/>
          <w:szCs w:val="24"/>
        </w:rPr>
        <w:t xml:space="preserve">Comme Montesquieu l’a </w:t>
      </w:r>
      <w:r w:rsidR="00677E82" w:rsidRPr="00AF41CC">
        <w:rPr>
          <w:rFonts w:ascii="Times New Roman" w:hAnsi="Times New Roman" w:cs="Times New Roman"/>
          <w:sz w:val="24"/>
          <w:szCs w:val="24"/>
        </w:rPr>
        <w:t>bien noté, tantôt les intérêts privés et public</w:t>
      </w:r>
      <w:r w:rsidR="00B65F32" w:rsidRPr="00AF41CC">
        <w:rPr>
          <w:rFonts w:ascii="Times New Roman" w:hAnsi="Times New Roman" w:cs="Times New Roman"/>
          <w:sz w:val="24"/>
          <w:szCs w:val="24"/>
        </w:rPr>
        <w:t>s se concilient</w:t>
      </w:r>
      <w:r w:rsidRPr="00AF41CC">
        <w:rPr>
          <w:rFonts w:ascii="Times New Roman" w:hAnsi="Times New Roman" w:cs="Times New Roman"/>
          <w:sz w:val="24"/>
          <w:szCs w:val="24"/>
        </w:rPr>
        <w:t>,</w:t>
      </w:r>
      <w:r w:rsidR="00677E82" w:rsidRPr="00AF41CC">
        <w:rPr>
          <w:rFonts w:ascii="Times New Roman" w:hAnsi="Times New Roman" w:cs="Times New Roman"/>
          <w:sz w:val="24"/>
          <w:szCs w:val="24"/>
        </w:rPr>
        <w:t xml:space="preserve"> tantôt</w:t>
      </w:r>
      <w:r w:rsidR="00B65F32" w:rsidRPr="00AF41CC">
        <w:rPr>
          <w:rFonts w:ascii="Times New Roman" w:hAnsi="Times New Roman" w:cs="Times New Roman"/>
          <w:sz w:val="24"/>
          <w:szCs w:val="24"/>
        </w:rPr>
        <w:t xml:space="preserve"> ils s’opposent.  Hume a insisté à son tour sur la variété des rapports entre Etats et commerce. Si en règle générale, intérêts privés et chose publique sont inséparables, il est « des circonstances où le commerce, les richesses et le luxe des particuliers, au lieu de renforcer </w:t>
      </w:r>
      <w:r w:rsidRPr="00AF41CC">
        <w:rPr>
          <w:rFonts w:ascii="Times New Roman" w:hAnsi="Times New Roman" w:cs="Times New Roman"/>
          <w:sz w:val="24"/>
          <w:szCs w:val="24"/>
        </w:rPr>
        <w:t>l</w:t>
      </w:r>
      <w:r w:rsidR="00B65F32" w:rsidRPr="00AF41CC">
        <w:rPr>
          <w:rFonts w:ascii="Times New Roman" w:hAnsi="Times New Roman" w:cs="Times New Roman"/>
          <w:sz w:val="24"/>
          <w:szCs w:val="24"/>
        </w:rPr>
        <w:t>a chose publique, ne serviront qu’à amoindrir ses armées et diminuer son autorité parmi les nations voisines. »</w:t>
      </w:r>
      <w:r w:rsidR="00B65F32" w:rsidRPr="00AF41CC">
        <w:rPr>
          <w:rStyle w:val="Appelnotedebasdep"/>
          <w:rFonts w:ascii="Times New Roman" w:hAnsi="Times New Roman" w:cs="Times New Roman"/>
          <w:sz w:val="24"/>
          <w:szCs w:val="24"/>
        </w:rPr>
        <w:footnoteReference w:id="22"/>
      </w:r>
      <w:r w:rsidR="00991953" w:rsidRPr="00AF41CC">
        <w:rPr>
          <w:rFonts w:ascii="Times New Roman" w:hAnsi="Times New Roman" w:cs="Times New Roman"/>
          <w:sz w:val="24"/>
          <w:szCs w:val="24"/>
        </w:rPr>
        <w:t xml:space="preserve"> Smith lui-même</w:t>
      </w:r>
      <w:r w:rsidR="00677E82" w:rsidRPr="00AF41CC">
        <w:rPr>
          <w:rFonts w:ascii="Times New Roman" w:hAnsi="Times New Roman" w:cs="Times New Roman"/>
          <w:sz w:val="24"/>
          <w:szCs w:val="24"/>
        </w:rPr>
        <w:t xml:space="preserve"> n’oubliait pas </w:t>
      </w:r>
      <w:r w:rsidR="00795E0C" w:rsidRPr="00AF41CC">
        <w:rPr>
          <w:rFonts w:ascii="Times New Roman" w:hAnsi="Times New Roman" w:cs="Times New Roman"/>
          <w:sz w:val="24"/>
          <w:szCs w:val="24"/>
        </w:rPr>
        <w:t xml:space="preserve">de rappeler </w:t>
      </w:r>
      <w:r w:rsidR="00677E82" w:rsidRPr="00AF41CC">
        <w:rPr>
          <w:rFonts w:ascii="Times New Roman" w:hAnsi="Times New Roman" w:cs="Times New Roman"/>
          <w:sz w:val="24"/>
          <w:szCs w:val="24"/>
        </w:rPr>
        <w:t>q</w:t>
      </w:r>
      <w:r w:rsidR="00795E0C" w:rsidRPr="00AF41CC">
        <w:rPr>
          <w:rFonts w:ascii="Times New Roman" w:hAnsi="Times New Roman" w:cs="Times New Roman"/>
          <w:sz w:val="24"/>
          <w:szCs w:val="24"/>
        </w:rPr>
        <w:t xml:space="preserve">ue certaines taxes ou certaines directives en matière d’investissement ou d’importation devaient protéger les intérêts du pays, notamment en </w:t>
      </w:r>
      <w:r w:rsidRPr="00AF41CC">
        <w:rPr>
          <w:rFonts w:ascii="Times New Roman" w:hAnsi="Times New Roman" w:cs="Times New Roman"/>
          <w:sz w:val="24"/>
          <w:szCs w:val="24"/>
        </w:rPr>
        <w:t xml:space="preserve">ce qui concerne la </w:t>
      </w:r>
      <w:r w:rsidR="00795E0C" w:rsidRPr="00AF41CC">
        <w:rPr>
          <w:rFonts w:ascii="Times New Roman" w:hAnsi="Times New Roman" w:cs="Times New Roman"/>
          <w:sz w:val="24"/>
          <w:szCs w:val="24"/>
        </w:rPr>
        <w:t xml:space="preserve">défense militaire. </w:t>
      </w:r>
    </w:p>
    <w:p w14:paraId="5D7B1974" w14:textId="4E97EF6C" w:rsidR="00422C4D" w:rsidRPr="00AF41CC" w:rsidRDefault="006A6485" w:rsidP="005D3353">
      <w:pPr>
        <w:spacing w:line="360" w:lineRule="auto"/>
        <w:jc w:val="both"/>
        <w:rPr>
          <w:rFonts w:ascii="Times New Roman" w:hAnsi="Times New Roman" w:cs="Times New Roman"/>
          <w:sz w:val="24"/>
          <w:szCs w:val="24"/>
        </w:rPr>
      </w:pPr>
      <w:r w:rsidRPr="00AF41CC">
        <w:rPr>
          <w:rFonts w:ascii="Times New Roman" w:hAnsi="Times New Roman" w:cs="Times New Roman"/>
          <w:sz w:val="24"/>
          <w:szCs w:val="24"/>
        </w:rPr>
        <w:t xml:space="preserve">Que </w:t>
      </w:r>
      <w:r w:rsidR="00422C4D" w:rsidRPr="00AF41CC">
        <w:rPr>
          <w:rFonts w:ascii="Times New Roman" w:hAnsi="Times New Roman" w:cs="Times New Roman"/>
          <w:sz w:val="24"/>
          <w:szCs w:val="24"/>
        </w:rPr>
        <w:t>conclure de cette brève évocation</w:t>
      </w:r>
      <w:r w:rsidRPr="00AF41CC">
        <w:rPr>
          <w:rFonts w:ascii="Times New Roman" w:hAnsi="Times New Roman" w:cs="Times New Roman"/>
          <w:sz w:val="24"/>
          <w:szCs w:val="24"/>
        </w:rPr>
        <w:t> ?</w:t>
      </w:r>
      <w:r w:rsidR="00422C4D" w:rsidRPr="00AF41CC">
        <w:rPr>
          <w:rFonts w:ascii="Times New Roman" w:hAnsi="Times New Roman" w:cs="Times New Roman"/>
          <w:sz w:val="24"/>
          <w:szCs w:val="24"/>
        </w:rPr>
        <w:t xml:space="preserve"> </w:t>
      </w:r>
      <w:r w:rsidRPr="00AF41CC">
        <w:rPr>
          <w:rFonts w:ascii="Times New Roman" w:hAnsi="Times New Roman" w:cs="Times New Roman"/>
          <w:sz w:val="24"/>
          <w:szCs w:val="24"/>
        </w:rPr>
        <w:t>La</w:t>
      </w:r>
      <w:r w:rsidR="00422C4D" w:rsidRPr="00AF41CC">
        <w:rPr>
          <w:rFonts w:ascii="Times New Roman" w:hAnsi="Times New Roman" w:cs="Times New Roman"/>
          <w:sz w:val="24"/>
          <w:szCs w:val="24"/>
        </w:rPr>
        <w:t xml:space="preserve"> souveraineté étatique n’a pas été la grande sacrifiée du libéralisme économique, pas plus d’ailleurs qu’elle ne l’est du néolibéralisme de la fin du XXe siècle</w:t>
      </w:r>
      <w:r w:rsidR="0013597A" w:rsidRPr="00AF41CC">
        <w:rPr>
          <w:rFonts w:ascii="Times New Roman" w:hAnsi="Times New Roman" w:cs="Times New Roman"/>
          <w:sz w:val="24"/>
          <w:szCs w:val="24"/>
        </w:rPr>
        <w:t xml:space="preserve"> et du début du XXIe siècle</w:t>
      </w:r>
      <w:r w:rsidR="00A47793" w:rsidRPr="00AF41CC">
        <w:rPr>
          <w:rFonts w:ascii="Times New Roman" w:hAnsi="Times New Roman" w:cs="Times New Roman"/>
          <w:sz w:val="24"/>
          <w:szCs w:val="24"/>
        </w:rPr>
        <w:t>, comme on l’a parfois affirmé</w:t>
      </w:r>
      <w:r w:rsidR="0030266A" w:rsidRPr="00AF41CC">
        <w:rPr>
          <w:rFonts w:ascii="Times New Roman" w:hAnsi="Times New Roman" w:cs="Times New Roman"/>
          <w:sz w:val="24"/>
          <w:szCs w:val="24"/>
        </w:rPr>
        <w:t xml:space="preserve"> du côté des souverainistes</w:t>
      </w:r>
      <w:r w:rsidR="00422C4D" w:rsidRPr="00AF41CC">
        <w:rPr>
          <w:rFonts w:ascii="Times New Roman" w:hAnsi="Times New Roman" w:cs="Times New Roman"/>
          <w:sz w:val="24"/>
          <w:szCs w:val="24"/>
        </w:rPr>
        <w:t>. La souveraineté étatique n’a pas disparu</w:t>
      </w:r>
      <w:r w:rsidR="00D00058" w:rsidRPr="00AF41CC">
        <w:rPr>
          <w:rFonts w:ascii="Times New Roman" w:hAnsi="Times New Roman" w:cs="Times New Roman"/>
          <w:sz w:val="24"/>
          <w:szCs w:val="24"/>
        </w:rPr>
        <w:t xml:space="preserve"> dans les faits</w:t>
      </w:r>
      <w:r w:rsidR="0013597A" w:rsidRPr="00AF41CC">
        <w:rPr>
          <w:rFonts w:ascii="Times New Roman" w:hAnsi="Times New Roman" w:cs="Times New Roman"/>
          <w:sz w:val="24"/>
          <w:szCs w:val="24"/>
        </w:rPr>
        <w:t xml:space="preserve"> et les pratiques</w:t>
      </w:r>
      <w:r w:rsidR="00422C4D" w:rsidRPr="00AF41CC">
        <w:rPr>
          <w:rFonts w:ascii="Times New Roman" w:hAnsi="Times New Roman" w:cs="Times New Roman"/>
          <w:sz w:val="24"/>
          <w:szCs w:val="24"/>
        </w:rPr>
        <w:t xml:space="preserve">, elle a </w:t>
      </w:r>
      <w:r w:rsidR="0013597A" w:rsidRPr="00AF41CC">
        <w:rPr>
          <w:rFonts w:ascii="Times New Roman" w:hAnsi="Times New Roman" w:cs="Times New Roman"/>
          <w:sz w:val="24"/>
          <w:szCs w:val="24"/>
        </w:rPr>
        <w:t xml:space="preserve">plutôt </w:t>
      </w:r>
      <w:r w:rsidR="00422C4D" w:rsidRPr="00AF41CC">
        <w:rPr>
          <w:rFonts w:ascii="Times New Roman" w:hAnsi="Times New Roman" w:cs="Times New Roman"/>
          <w:sz w:val="24"/>
          <w:szCs w:val="24"/>
        </w:rPr>
        <w:t xml:space="preserve">été </w:t>
      </w:r>
      <w:r w:rsidR="00F45C13" w:rsidRPr="00AF41CC">
        <w:rPr>
          <w:rFonts w:ascii="Times New Roman" w:hAnsi="Times New Roman" w:cs="Times New Roman"/>
          <w:sz w:val="24"/>
          <w:szCs w:val="24"/>
        </w:rPr>
        <w:t>occult</w:t>
      </w:r>
      <w:r w:rsidR="00422C4D" w:rsidRPr="00AF41CC">
        <w:rPr>
          <w:rFonts w:ascii="Times New Roman" w:hAnsi="Times New Roman" w:cs="Times New Roman"/>
          <w:sz w:val="24"/>
          <w:szCs w:val="24"/>
        </w:rPr>
        <w:t>ée ces dernières décennies par un discours</w:t>
      </w:r>
      <w:r w:rsidR="00D00058" w:rsidRPr="00AF41CC">
        <w:rPr>
          <w:rFonts w:ascii="Times New Roman" w:hAnsi="Times New Roman" w:cs="Times New Roman"/>
          <w:sz w:val="24"/>
          <w:szCs w:val="24"/>
        </w:rPr>
        <w:t xml:space="preserve"> </w:t>
      </w:r>
      <w:r w:rsidR="0030266A" w:rsidRPr="00AF41CC">
        <w:rPr>
          <w:rFonts w:ascii="Times New Roman" w:hAnsi="Times New Roman" w:cs="Times New Roman"/>
          <w:sz w:val="24"/>
          <w:szCs w:val="24"/>
        </w:rPr>
        <w:t xml:space="preserve">apologétique </w:t>
      </w:r>
      <w:r w:rsidR="00B84647" w:rsidRPr="00AF41CC">
        <w:rPr>
          <w:rFonts w:ascii="Times New Roman" w:hAnsi="Times New Roman" w:cs="Times New Roman"/>
          <w:sz w:val="24"/>
          <w:szCs w:val="24"/>
        </w:rPr>
        <w:t>tendant à justifier une phase de mondialisation rapide et générale du capitalisme</w:t>
      </w:r>
      <w:r w:rsidR="0030266A" w:rsidRPr="00AF41CC">
        <w:rPr>
          <w:rFonts w:ascii="Times New Roman" w:hAnsi="Times New Roman" w:cs="Times New Roman"/>
          <w:sz w:val="24"/>
          <w:szCs w:val="24"/>
        </w:rPr>
        <w:t xml:space="preserve"> orchestrée par les politiques des pays dominants</w:t>
      </w:r>
      <w:r w:rsidR="00D00058" w:rsidRPr="00AF41CC">
        <w:rPr>
          <w:rFonts w:ascii="Times New Roman" w:hAnsi="Times New Roman" w:cs="Times New Roman"/>
          <w:sz w:val="24"/>
          <w:szCs w:val="24"/>
        </w:rPr>
        <w:t>.</w:t>
      </w:r>
      <w:r w:rsidR="00B84647" w:rsidRPr="00AF41CC">
        <w:rPr>
          <w:rFonts w:ascii="Times New Roman" w:hAnsi="Times New Roman" w:cs="Times New Roman"/>
          <w:sz w:val="24"/>
          <w:szCs w:val="24"/>
        </w:rPr>
        <w:t xml:space="preserve"> </w:t>
      </w:r>
      <w:r w:rsidR="0030266A" w:rsidRPr="00AF41CC">
        <w:rPr>
          <w:rFonts w:ascii="Times New Roman" w:hAnsi="Times New Roman" w:cs="Times New Roman"/>
          <w:sz w:val="24"/>
          <w:szCs w:val="24"/>
        </w:rPr>
        <w:t>C</w:t>
      </w:r>
      <w:r w:rsidR="00D00058" w:rsidRPr="00AF41CC">
        <w:rPr>
          <w:rFonts w:ascii="Times New Roman" w:hAnsi="Times New Roman" w:cs="Times New Roman"/>
          <w:sz w:val="24"/>
          <w:szCs w:val="24"/>
        </w:rPr>
        <w:t xml:space="preserve">es politiques néolibérales ne sont pas tournées contre l’État en général, elles ne visent pas à son affaiblissement ou à sa marginalisation. Elles </w:t>
      </w:r>
      <w:r w:rsidR="00D9112C" w:rsidRPr="00AF41CC">
        <w:rPr>
          <w:rFonts w:ascii="Times New Roman" w:hAnsi="Times New Roman" w:cs="Times New Roman"/>
          <w:sz w:val="24"/>
          <w:szCs w:val="24"/>
        </w:rPr>
        <w:t>participent plutôt d’</w:t>
      </w:r>
      <w:r w:rsidR="00D00058" w:rsidRPr="00AF41CC">
        <w:rPr>
          <w:rFonts w:ascii="Times New Roman" w:hAnsi="Times New Roman" w:cs="Times New Roman"/>
          <w:sz w:val="24"/>
          <w:szCs w:val="24"/>
        </w:rPr>
        <w:t xml:space="preserve">une nouvelle configuration étatico-capitaliste, ou pour reprendre le vocabulaire de Wallerstein, </w:t>
      </w:r>
      <w:r w:rsidR="00D9112C" w:rsidRPr="00AF41CC">
        <w:rPr>
          <w:rFonts w:ascii="Times New Roman" w:hAnsi="Times New Roman" w:cs="Times New Roman"/>
          <w:sz w:val="24"/>
          <w:szCs w:val="24"/>
        </w:rPr>
        <w:t>d’</w:t>
      </w:r>
      <w:r w:rsidR="00D00058" w:rsidRPr="00AF41CC">
        <w:rPr>
          <w:rFonts w:ascii="Times New Roman" w:hAnsi="Times New Roman" w:cs="Times New Roman"/>
          <w:sz w:val="24"/>
          <w:szCs w:val="24"/>
        </w:rPr>
        <w:t>un nouveau système-monde</w:t>
      </w:r>
      <w:r w:rsidR="00936B61" w:rsidRPr="00AF41CC">
        <w:rPr>
          <w:rFonts w:ascii="Times New Roman" w:hAnsi="Times New Roman" w:cs="Times New Roman"/>
          <w:sz w:val="24"/>
          <w:szCs w:val="24"/>
        </w:rPr>
        <w:t xml:space="preserve"> dans lequel les États ont pour fonction </w:t>
      </w:r>
      <w:r w:rsidR="0013597A" w:rsidRPr="00AF41CC">
        <w:rPr>
          <w:rFonts w:ascii="Times New Roman" w:hAnsi="Times New Roman" w:cs="Times New Roman"/>
          <w:sz w:val="24"/>
          <w:szCs w:val="24"/>
        </w:rPr>
        <w:t xml:space="preserve">première </w:t>
      </w:r>
      <w:r w:rsidR="00936B61" w:rsidRPr="00AF41CC">
        <w:rPr>
          <w:rFonts w:ascii="Times New Roman" w:hAnsi="Times New Roman" w:cs="Times New Roman"/>
          <w:sz w:val="24"/>
          <w:szCs w:val="24"/>
        </w:rPr>
        <w:t xml:space="preserve">de remodeler </w:t>
      </w:r>
      <w:r w:rsidR="0013597A" w:rsidRPr="00AF41CC">
        <w:rPr>
          <w:rFonts w:ascii="Times New Roman" w:hAnsi="Times New Roman" w:cs="Times New Roman"/>
          <w:sz w:val="24"/>
          <w:szCs w:val="24"/>
        </w:rPr>
        <w:t xml:space="preserve">à coup de « réformes structurelles » </w:t>
      </w:r>
      <w:r w:rsidR="00936B61" w:rsidRPr="00AF41CC">
        <w:rPr>
          <w:rFonts w:ascii="Times New Roman" w:hAnsi="Times New Roman" w:cs="Times New Roman"/>
          <w:sz w:val="24"/>
          <w:szCs w:val="24"/>
        </w:rPr>
        <w:t>les instit</w:t>
      </w:r>
      <w:r w:rsidR="0013597A" w:rsidRPr="00AF41CC">
        <w:rPr>
          <w:rFonts w:ascii="Times New Roman" w:hAnsi="Times New Roman" w:cs="Times New Roman"/>
          <w:sz w:val="24"/>
          <w:szCs w:val="24"/>
        </w:rPr>
        <w:t xml:space="preserve">utions, les infrastructures et </w:t>
      </w:r>
      <w:r w:rsidR="00936B61" w:rsidRPr="00AF41CC">
        <w:rPr>
          <w:rFonts w:ascii="Times New Roman" w:hAnsi="Times New Roman" w:cs="Times New Roman"/>
          <w:sz w:val="24"/>
          <w:szCs w:val="24"/>
        </w:rPr>
        <w:t xml:space="preserve">les </w:t>
      </w:r>
      <w:r w:rsidR="00997BD0" w:rsidRPr="00AF41CC">
        <w:rPr>
          <w:rFonts w:ascii="Times New Roman" w:hAnsi="Times New Roman" w:cs="Times New Roman"/>
          <w:sz w:val="24"/>
          <w:szCs w:val="24"/>
        </w:rPr>
        <w:t xml:space="preserve">rapports sociaux </w:t>
      </w:r>
      <w:r w:rsidR="00E07350" w:rsidRPr="00AF41CC">
        <w:rPr>
          <w:rFonts w:ascii="Times New Roman" w:hAnsi="Times New Roman" w:cs="Times New Roman"/>
          <w:sz w:val="24"/>
          <w:szCs w:val="24"/>
        </w:rPr>
        <w:t>selon les</w:t>
      </w:r>
      <w:r w:rsidR="00936B61" w:rsidRPr="00AF41CC">
        <w:rPr>
          <w:rFonts w:ascii="Times New Roman" w:hAnsi="Times New Roman" w:cs="Times New Roman"/>
          <w:sz w:val="24"/>
          <w:szCs w:val="24"/>
        </w:rPr>
        <w:t xml:space="preserve"> norme</w:t>
      </w:r>
      <w:r w:rsidR="00E07350" w:rsidRPr="00AF41CC">
        <w:rPr>
          <w:rFonts w:ascii="Times New Roman" w:hAnsi="Times New Roman" w:cs="Times New Roman"/>
          <w:sz w:val="24"/>
          <w:szCs w:val="24"/>
        </w:rPr>
        <w:t>s</w:t>
      </w:r>
      <w:r w:rsidR="00936B61" w:rsidRPr="00AF41CC">
        <w:rPr>
          <w:rFonts w:ascii="Times New Roman" w:hAnsi="Times New Roman" w:cs="Times New Roman"/>
          <w:sz w:val="24"/>
          <w:szCs w:val="24"/>
        </w:rPr>
        <w:t xml:space="preserve"> de la concurrence généralisée et de la rentabilité du capital</w:t>
      </w:r>
      <w:r w:rsidR="00D00058" w:rsidRPr="00AF41CC">
        <w:rPr>
          <w:rFonts w:ascii="Times New Roman" w:hAnsi="Times New Roman" w:cs="Times New Roman"/>
          <w:sz w:val="24"/>
          <w:szCs w:val="24"/>
        </w:rPr>
        <w:t xml:space="preserve">. </w:t>
      </w:r>
      <w:r w:rsidR="0013597A" w:rsidRPr="00AF41CC">
        <w:rPr>
          <w:rFonts w:ascii="Times New Roman" w:hAnsi="Times New Roman" w:cs="Times New Roman"/>
          <w:sz w:val="24"/>
          <w:szCs w:val="24"/>
        </w:rPr>
        <w:t xml:space="preserve">Reste à savoir si la logique qui semble devoir prédominer aujourd’hui, celle de « l’autonomie stratégique » </w:t>
      </w:r>
      <w:r w:rsidR="00A47793" w:rsidRPr="00AF41CC">
        <w:rPr>
          <w:rFonts w:ascii="Times New Roman" w:hAnsi="Times New Roman" w:cs="Times New Roman"/>
          <w:sz w:val="24"/>
          <w:szCs w:val="24"/>
        </w:rPr>
        <w:t xml:space="preserve">des différents blocs de puissance, </w:t>
      </w:r>
      <w:r w:rsidR="0013597A" w:rsidRPr="00AF41CC">
        <w:rPr>
          <w:rFonts w:ascii="Times New Roman" w:hAnsi="Times New Roman" w:cs="Times New Roman"/>
          <w:sz w:val="24"/>
          <w:szCs w:val="24"/>
        </w:rPr>
        <w:t xml:space="preserve">laisse inchangée la logique normative du néolibéralisme ou si elle conduit à l’amender, et dans quel sens. </w:t>
      </w:r>
    </w:p>
    <w:p w14:paraId="4D1B6963" w14:textId="5362392A" w:rsidR="001E150C" w:rsidRPr="00AF41CC" w:rsidRDefault="007838BB" w:rsidP="005D3353">
      <w:pPr>
        <w:spacing w:line="360" w:lineRule="auto"/>
        <w:jc w:val="both"/>
        <w:rPr>
          <w:rFonts w:ascii="Times New Roman" w:hAnsi="Times New Roman" w:cs="Times New Roman"/>
          <w:sz w:val="24"/>
          <w:szCs w:val="24"/>
        </w:rPr>
      </w:pPr>
      <w:r w:rsidRPr="00AF41CC">
        <w:rPr>
          <w:rFonts w:ascii="Times New Roman" w:hAnsi="Times New Roman" w:cs="Times New Roman"/>
          <w:b/>
          <w:bCs/>
          <w:sz w:val="24"/>
          <w:szCs w:val="24"/>
        </w:rPr>
        <w:t xml:space="preserve">Souveraineté du capital ou </w:t>
      </w:r>
      <w:r w:rsidR="00291D65" w:rsidRPr="00AF41CC">
        <w:rPr>
          <w:rFonts w:ascii="Times New Roman" w:hAnsi="Times New Roman" w:cs="Times New Roman"/>
          <w:b/>
          <w:bCs/>
          <w:sz w:val="24"/>
          <w:szCs w:val="24"/>
        </w:rPr>
        <w:t>nouvelle fonction de</w:t>
      </w:r>
      <w:r w:rsidR="00C3360A" w:rsidRPr="00AF41CC">
        <w:rPr>
          <w:rFonts w:ascii="Times New Roman" w:hAnsi="Times New Roman" w:cs="Times New Roman"/>
          <w:b/>
          <w:bCs/>
          <w:sz w:val="24"/>
          <w:szCs w:val="24"/>
        </w:rPr>
        <w:t xml:space="preserve"> la souveraineté étatique</w:t>
      </w:r>
      <w:r w:rsidRPr="00AF41CC">
        <w:rPr>
          <w:rFonts w:ascii="Times New Roman" w:hAnsi="Times New Roman" w:cs="Times New Roman"/>
          <w:b/>
          <w:bCs/>
          <w:sz w:val="24"/>
          <w:szCs w:val="24"/>
        </w:rPr>
        <w:t> ?</w:t>
      </w:r>
    </w:p>
    <w:p w14:paraId="639ED1C4" w14:textId="78DCF650" w:rsidR="00D8729A" w:rsidRPr="00AF41CC" w:rsidRDefault="006961C9" w:rsidP="005D3353">
      <w:pPr>
        <w:spacing w:line="360" w:lineRule="auto"/>
        <w:jc w:val="both"/>
        <w:rPr>
          <w:rFonts w:ascii="Times New Roman" w:hAnsi="Times New Roman" w:cs="Times New Roman"/>
          <w:sz w:val="24"/>
          <w:szCs w:val="24"/>
        </w:rPr>
      </w:pPr>
      <w:r w:rsidRPr="00AF41CC">
        <w:rPr>
          <w:rFonts w:ascii="Times New Roman" w:hAnsi="Times New Roman" w:cs="Times New Roman"/>
          <w:sz w:val="24"/>
          <w:szCs w:val="24"/>
        </w:rPr>
        <w:lastRenderedPageBreak/>
        <w:t>Contrairement à une idée tenace</w:t>
      </w:r>
      <w:r w:rsidR="0099754B" w:rsidRPr="00AF41CC">
        <w:rPr>
          <w:rFonts w:ascii="Times New Roman" w:hAnsi="Times New Roman" w:cs="Times New Roman"/>
          <w:sz w:val="24"/>
          <w:szCs w:val="24"/>
        </w:rPr>
        <w:t>,</w:t>
      </w:r>
      <w:r w:rsidRPr="00AF41CC">
        <w:rPr>
          <w:rFonts w:ascii="Times New Roman" w:hAnsi="Times New Roman" w:cs="Times New Roman"/>
          <w:sz w:val="24"/>
          <w:szCs w:val="24"/>
        </w:rPr>
        <w:t xml:space="preserve"> il n’y a donc pas </w:t>
      </w:r>
      <w:r w:rsidR="00C877E8" w:rsidRPr="00AF41CC">
        <w:rPr>
          <w:rFonts w:ascii="Times New Roman" w:hAnsi="Times New Roman" w:cs="Times New Roman"/>
          <w:sz w:val="24"/>
          <w:szCs w:val="24"/>
        </w:rPr>
        <w:t xml:space="preserve">davantage de « déclin » que </w:t>
      </w:r>
      <w:r w:rsidR="002B5247" w:rsidRPr="00AF41CC">
        <w:rPr>
          <w:rFonts w:ascii="Times New Roman" w:hAnsi="Times New Roman" w:cs="Times New Roman"/>
          <w:sz w:val="24"/>
          <w:szCs w:val="24"/>
        </w:rPr>
        <w:t xml:space="preserve">de « retour » </w:t>
      </w:r>
      <w:r w:rsidRPr="00AF41CC">
        <w:rPr>
          <w:rFonts w:ascii="Times New Roman" w:hAnsi="Times New Roman" w:cs="Times New Roman"/>
          <w:sz w:val="24"/>
          <w:szCs w:val="24"/>
        </w:rPr>
        <w:t>de la souv</w:t>
      </w:r>
      <w:r w:rsidR="002B5247" w:rsidRPr="00AF41CC">
        <w:rPr>
          <w:rFonts w:ascii="Times New Roman" w:hAnsi="Times New Roman" w:cs="Times New Roman"/>
          <w:sz w:val="24"/>
          <w:szCs w:val="24"/>
        </w:rPr>
        <w:t>eraineté étatique, mais un réaménagement et un recentrement de cette dernière</w:t>
      </w:r>
      <w:r w:rsidR="00387E99" w:rsidRPr="00AF41CC">
        <w:rPr>
          <w:rFonts w:ascii="Times New Roman" w:hAnsi="Times New Roman" w:cs="Times New Roman"/>
          <w:sz w:val="24"/>
          <w:szCs w:val="24"/>
        </w:rPr>
        <w:t xml:space="preserve"> autour de fonctions redéfinies</w:t>
      </w:r>
      <w:r w:rsidR="001D3E25" w:rsidRPr="00AF41CC">
        <w:rPr>
          <w:rFonts w:ascii="Times New Roman" w:hAnsi="Times New Roman" w:cs="Times New Roman"/>
          <w:sz w:val="24"/>
          <w:szCs w:val="24"/>
        </w:rPr>
        <w:t xml:space="preserve"> pour faire face aux nouvelles conditions</w:t>
      </w:r>
      <w:r w:rsidR="002B5247" w:rsidRPr="00AF41CC">
        <w:rPr>
          <w:rFonts w:ascii="Times New Roman" w:hAnsi="Times New Roman" w:cs="Times New Roman"/>
          <w:sz w:val="24"/>
          <w:szCs w:val="24"/>
        </w:rPr>
        <w:t xml:space="preserve">. </w:t>
      </w:r>
      <w:r w:rsidR="009F3B1B" w:rsidRPr="00AF41CC">
        <w:rPr>
          <w:rFonts w:ascii="Times New Roman" w:hAnsi="Times New Roman" w:cs="Times New Roman"/>
          <w:sz w:val="24"/>
          <w:szCs w:val="24"/>
        </w:rPr>
        <w:t xml:space="preserve">Jean Peyrelevade, ancien président du Crédit Lyonnais, </w:t>
      </w:r>
      <w:r w:rsidR="00C877E8" w:rsidRPr="00AF41CC">
        <w:rPr>
          <w:rFonts w:ascii="Times New Roman" w:hAnsi="Times New Roman" w:cs="Times New Roman"/>
          <w:sz w:val="24"/>
          <w:szCs w:val="24"/>
        </w:rPr>
        <w:t>se pla</w:t>
      </w:r>
      <w:r w:rsidR="00F82201" w:rsidRPr="00AF41CC">
        <w:rPr>
          <w:rFonts w:ascii="Times New Roman" w:hAnsi="Times New Roman" w:cs="Times New Roman"/>
          <w:sz w:val="24"/>
          <w:szCs w:val="24"/>
        </w:rPr>
        <w:t>ît</w:t>
      </w:r>
      <w:r w:rsidR="00C877E8" w:rsidRPr="00AF41CC">
        <w:rPr>
          <w:rFonts w:ascii="Times New Roman" w:hAnsi="Times New Roman" w:cs="Times New Roman"/>
          <w:sz w:val="24"/>
          <w:szCs w:val="24"/>
        </w:rPr>
        <w:t xml:space="preserve"> à souligner le contraste entre la situation </w:t>
      </w:r>
      <w:r w:rsidR="00EE7671" w:rsidRPr="00AF41CC">
        <w:rPr>
          <w:rFonts w:ascii="Times New Roman" w:hAnsi="Times New Roman" w:cs="Times New Roman"/>
          <w:sz w:val="24"/>
          <w:szCs w:val="24"/>
        </w:rPr>
        <w:t xml:space="preserve">de la Chine et celle des Etats occidentaux. </w:t>
      </w:r>
      <w:r w:rsidR="00387E99" w:rsidRPr="00AF41CC">
        <w:rPr>
          <w:rFonts w:ascii="Times New Roman" w:hAnsi="Times New Roman" w:cs="Times New Roman"/>
          <w:sz w:val="24"/>
          <w:szCs w:val="24"/>
        </w:rPr>
        <w:t>Les GAFAM américaines font peser une menace directe sur la souveraineté des Etats</w:t>
      </w:r>
      <w:r w:rsidR="00EE7671" w:rsidRPr="00AF41CC">
        <w:rPr>
          <w:rFonts w:ascii="Times New Roman" w:hAnsi="Times New Roman" w:cs="Times New Roman"/>
          <w:sz w:val="24"/>
          <w:szCs w:val="24"/>
        </w:rPr>
        <w:t xml:space="preserve">, en spéculant sur l’introduction d’une nouvelle monnaie privée (le « libra »), </w:t>
      </w:r>
      <w:r w:rsidR="007400E9" w:rsidRPr="00AF41CC">
        <w:rPr>
          <w:rFonts w:ascii="Times New Roman" w:hAnsi="Times New Roman" w:cs="Times New Roman"/>
          <w:sz w:val="24"/>
          <w:szCs w:val="24"/>
        </w:rPr>
        <w:t>à l’inverse des</w:t>
      </w:r>
      <w:r w:rsidR="00C877E8" w:rsidRPr="00AF41CC">
        <w:rPr>
          <w:rFonts w:ascii="Times New Roman" w:hAnsi="Times New Roman" w:cs="Times New Roman"/>
          <w:sz w:val="24"/>
          <w:szCs w:val="24"/>
        </w:rPr>
        <w:t xml:space="preserve"> GAFA chinoises complètement soumises à l’Etat chinois</w:t>
      </w:r>
      <w:r w:rsidR="007400E9" w:rsidRPr="00AF41CC">
        <w:rPr>
          <w:rFonts w:ascii="Times New Roman" w:hAnsi="Times New Roman" w:cs="Times New Roman"/>
          <w:sz w:val="24"/>
          <w:szCs w:val="24"/>
        </w:rPr>
        <w:t>.</w:t>
      </w:r>
      <w:r w:rsidR="00C877E8" w:rsidRPr="00AF41CC">
        <w:rPr>
          <w:rFonts w:ascii="Times New Roman" w:hAnsi="Times New Roman" w:cs="Times New Roman"/>
          <w:sz w:val="24"/>
          <w:szCs w:val="24"/>
        </w:rPr>
        <w:t xml:space="preserve"> </w:t>
      </w:r>
      <w:r w:rsidR="00777656" w:rsidRPr="00AF41CC">
        <w:rPr>
          <w:rFonts w:ascii="Times New Roman" w:hAnsi="Times New Roman" w:cs="Times New Roman"/>
          <w:sz w:val="24"/>
          <w:szCs w:val="24"/>
        </w:rPr>
        <w:t>C</w:t>
      </w:r>
      <w:r w:rsidR="00FA1002" w:rsidRPr="00AF41CC">
        <w:rPr>
          <w:rFonts w:ascii="Times New Roman" w:hAnsi="Times New Roman" w:cs="Times New Roman"/>
          <w:sz w:val="24"/>
          <w:szCs w:val="24"/>
        </w:rPr>
        <w:t>e parallèle</w:t>
      </w:r>
      <w:r w:rsidR="00777656" w:rsidRPr="00AF41CC">
        <w:rPr>
          <w:rFonts w:ascii="Times New Roman" w:hAnsi="Times New Roman" w:cs="Times New Roman"/>
          <w:sz w:val="24"/>
          <w:szCs w:val="24"/>
        </w:rPr>
        <w:t xml:space="preserve"> </w:t>
      </w:r>
      <w:r w:rsidR="00F82201" w:rsidRPr="00AF41CC">
        <w:rPr>
          <w:rFonts w:ascii="Times New Roman" w:hAnsi="Times New Roman" w:cs="Times New Roman"/>
          <w:sz w:val="24"/>
          <w:szCs w:val="24"/>
        </w:rPr>
        <w:t xml:space="preserve">édifiant </w:t>
      </w:r>
      <w:r w:rsidR="00777656" w:rsidRPr="00AF41CC">
        <w:rPr>
          <w:rFonts w:ascii="Times New Roman" w:hAnsi="Times New Roman" w:cs="Times New Roman"/>
          <w:sz w:val="24"/>
          <w:szCs w:val="24"/>
        </w:rPr>
        <w:t>est guidé par</w:t>
      </w:r>
      <w:r w:rsidR="00FA1002" w:rsidRPr="00AF41CC">
        <w:rPr>
          <w:rFonts w:ascii="Times New Roman" w:hAnsi="Times New Roman" w:cs="Times New Roman"/>
          <w:sz w:val="24"/>
          <w:szCs w:val="24"/>
        </w:rPr>
        <w:t xml:space="preserve"> un postulat très simple : « </w:t>
      </w:r>
      <w:r w:rsidR="00D958DE" w:rsidRPr="00AF41CC">
        <w:rPr>
          <w:rFonts w:ascii="Times New Roman" w:hAnsi="Times New Roman" w:cs="Times New Roman"/>
          <w:sz w:val="24"/>
          <w:szCs w:val="24"/>
        </w:rPr>
        <w:t xml:space="preserve">La souveraineté affichée appelle en réponse une souveraineté </w:t>
      </w:r>
      <w:r w:rsidR="00D958DE" w:rsidRPr="00AF41CC">
        <w:rPr>
          <w:rFonts w:ascii="Times New Roman" w:hAnsi="Times New Roman" w:cs="Times New Roman"/>
          <w:i/>
          <w:iCs/>
          <w:sz w:val="24"/>
          <w:szCs w:val="24"/>
        </w:rPr>
        <w:t>de même nature</w:t>
      </w:r>
      <w:r w:rsidR="00D958DE" w:rsidRPr="00AF41CC">
        <w:rPr>
          <w:rFonts w:ascii="Times New Roman" w:hAnsi="Times New Roman" w:cs="Times New Roman"/>
          <w:sz w:val="24"/>
          <w:szCs w:val="24"/>
        </w:rPr>
        <w:t>. </w:t>
      </w:r>
      <w:r w:rsidR="00FA1002" w:rsidRPr="00AF41CC">
        <w:rPr>
          <w:rStyle w:val="Appelnotedebasdep"/>
          <w:rFonts w:ascii="Times New Roman" w:hAnsi="Times New Roman" w:cs="Times New Roman"/>
          <w:sz w:val="24"/>
          <w:szCs w:val="24"/>
        </w:rPr>
        <w:footnoteReference w:id="23"/>
      </w:r>
      <w:r w:rsidR="00D958DE" w:rsidRPr="00AF41CC">
        <w:rPr>
          <w:rFonts w:ascii="Times New Roman" w:hAnsi="Times New Roman" w:cs="Times New Roman"/>
          <w:sz w:val="24"/>
          <w:szCs w:val="24"/>
        </w:rPr>
        <w:t>»</w:t>
      </w:r>
      <w:r w:rsidR="00AA48B4" w:rsidRPr="00AF41CC">
        <w:rPr>
          <w:rFonts w:ascii="Times New Roman" w:hAnsi="Times New Roman" w:cs="Times New Roman"/>
          <w:sz w:val="24"/>
          <w:szCs w:val="24"/>
        </w:rPr>
        <w:t xml:space="preserve"> </w:t>
      </w:r>
      <w:r w:rsidR="00F916E7" w:rsidRPr="00AF41CC">
        <w:rPr>
          <w:rFonts w:ascii="Times New Roman" w:hAnsi="Times New Roman" w:cs="Times New Roman"/>
          <w:sz w:val="24"/>
          <w:szCs w:val="24"/>
        </w:rPr>
        <w:t>En d’autres termes, seule la souveraineté des Etat</w:t>
      </w:r>
      <w:r w:rsidR="00CA072A" w:rsidRPr="00AF41CC">
        <w:rPr>
          <w:rFonts w:ascii="Times New Roman" w:hAnsi="Times New Roman" w:cs="Times New Roman"/>
          <w:sz w:val="24"/>
          <w:szCs w:val="24"/>
        </w:rPr>
        <w:t>s</w:t>
      </w:r>
      <w:r w:rsidR="0099754B" w:rsidRPr="00AF41CC">
        <w:rPr>
          <w:rFonts w:ascii="Times New Roman" w:hAnsi="Times New Roman" w:cs="Times New Roman"/>
          <w:sz w:val="24"/>
          <w:szCs w:val="24"/>
        </w:rPr>
        <w:t xml:space="preserve"> </w:t>
      </w:r>
      <w:r w:rsidR="001040F2" w:rsidRPr="00AF41CC">
        <w:rPr>
          <w:rFonts w:ascii="Times New Roman" w:hAnsi="Times New Roman" w:cs="Times New Roman"/>
          <w:sz w:val="24"/>
          <w:szCs w:val="24"/>
        </w:rPr>
        <w:t>peu</w:t>
      </w:r>
      <w:r w:rsidR="00F916E7" w:rsidRPr="00AF41CC">
        <w:rPr>
          <w:rFonts w:ascii="Times New Roman" w:hAnsi="Times New Roman" w:cs="Times New Roman"/>
          <w:sz w:val="24"/>
          <w:szCs w:val="24"/>
        </w:rPr>
        <w:t>t</w:t>
      </w:r>
      <w:r w:rsidR="001040F2" w:rsidRPr="00AF41CC">
        <w:rPr>
          <w:rFonts w:ascii="Times New Roman" w:hAnsi="Times New Roman" w:cs="Times New Roman"/>
          <w:sz w:val="24"/>
          <w:szCs w:val="24"/>
        </w:rPr>
        <w:t xml:space="preserve"> contrecarrer</w:t>
      </w:r>
      <w:r w:rsidR="00F916E7" w:rsidRPr="00AF41CC">
        <w:rPr>
          <w:rFonts w:ascii="Times New Roman" w:hAnsi="Times New Roman" w:cs="Times New Roman"/>
          <w:sz w:val="24"/>
          <w:szCs w:val="24"/>
        </w:rPr>
        <w:t xml:space="preserve"> la </w:t>
      </w:r>
      <w:r w:rsidR="0099754B" w:rsidRPr="00AF41CC">
        <w:rPr>
          <w:rFonts w:ascii="Times New Roman" w:hAnsi="Times New Roman" w:cs="Times New Roman"/>
          <w:sz w:val="24"/>
          <w:szCs w:val="24"/>
        </w:rPr>
        <w:t>« </w:t>
      </w:r>
      <w:r w:rsidR="00F916E7" w:rsidRPr="00AF41CC">
        <w:rPr>
          <w:rFonts w:ascii="Times New Roman" w:hAnsi="Times New Roman" w:cs="Times New Roman"/>
          <w:sz w:val="24"/>
          <w:szCs w:val="24"/>
        </w:rPr>
        <w:t xml:space="preserve">souveraineté </w:t>
      </w:r>
      <w:r w:rsidR="0099754B" w:rsidRPr="00AF41CC">
        <w:rPr>
          <w:rFonts w:ascii="Times New Roman" w:hAnsi="Times New Roman" w:cs="Times New Roman"/>
          <w:sz w:val="24"/>
          <w:szCs w:val="24"/>
        </w:rPr>
        <w:t xml:space="preserve">affichée » par </w:t>
      </w:r>
      <w:r w:rsidR="007400E9" w:rsidRPr="00AF41CC">
        <w:rPr>
          <w:rFonts w:ascii="Times New Roman" w:hAnsi="Times New Roman" w:cs="Times New Roman"/>
          <w:sz w:val="24"/>
          <w:szCs w:val="24"/>
        </w:rPr>
        <w:t>les GAFAM</w:t>
      </w:r>
      <w:r w:rsidR="00F916E7" w:rsidRPr="00AF41CC">
        <w:rPr>
          <w:rFonts w:ascii="Times New Roman" w:hAnsi="Times New Roman" w:cs="Times New Roman"/>
          <w:sz w:val="24"/>
          <w:szCs w:val="24"/>
        </w:rPr>
        <w:t xml:space="preserve"> parce qu’elle serait </w:t>
      </w:r>
      <w:r w:rsidR="00777656" w:rsidRPr="00AF41CC">
        <w:rPr>
          <w:rFonts w:ascii="Times New Roman" w:hAnsi="Times New Roman" w:cs="Times New Roman"/>
          <w:sz w:val="24"/>
          <w:szCs w:val="24"/>
        </w:rPr>
        <w:t>« </w:t>
      </w:r>
      <w:r w:rsidR="00F916E7" w:rsidRPr="00AF41CC">
        <w:rPr>
          <w:rFonts w:ascii="Times New Roman" w:hAnsi="Times New Roman" w:cs="Times New Roman"/>
          <w:sz w:val="24"/>
          <w:szCs w:val="24"/>
        </w:rPr>
        <w:t>de même nature</w:t>
      </w:r>
      <w:r w:rsidR="00777656" w:rsidRPr="00AF41CC">
        <w:rPr>
          <w:rFonts w:ascii="Times New Roman" w:hAnsi="Times New Roman" w:cs="Times New Roman"/>
          <w:sz w:val="24"/>
          <w:szCs w:val="24"/>
        </w:rPr>
        <w:t> »</w:t>
      </w:r>
      <w:r w:rsidR="0099754B" w:rsidRPr="00AF41CC">
        <w:rPr>
          <w:rFonts w:ascii="Times New Roman" w:hAnsi="Times New Roman" w:cs="Times New Roman"/>
          <w:sz w:val="24"/>
          <w:szCs w:val="24"/>
        </w:rPr>
        <w:t xml:space="preserve"> </w:t>
      </w:r>
      <w:r w:rsidR="00CA072A" w:rsidRPr="00AF41CC">
        <w:rPr>
          <w:rFonts w:ascii="Times New Roman" w:hAnsi="Times New Roman" w:cs="Times New Roman"/>
          <w:sz w:val="24"/>
          <w:szCs w:val="24"/>
        </w:rPr>
        <w:t>que cette dernière</w:t>
      </w:r>
      <w:r w:rsidR="00F916E7" w:rsidRPr="00AF41CC">
        <w:rPr>
          <w:rFonts w:ascii="Times New Roman" w:hAnsi="Times New Roman" w:cs="Times New Roman"/>
          <w:sz w:val="24"/>
          <w:szCs w:val="24"/>
        </w:rPr>
        <w:t xml:space="preserve">. </w:t>
      </w:r>
      <w:r w:rsidR="00670ACA" w:rsidRPr="00AF41CC">
        <w:rPr>
          <w:rFonts w:ascii="Times New Roman" w:hAnsi="Times New Roman" w:cs="Times New Roman"/>
          <w:sz w:val="24"/>
          <w:szCs w:val="24"/>
        </w:rPr>
        <w:t>Portant un diagnostic différent, c</w:t>
      </w:r>
      <w:r w:rsidR="00CA072A" w:rsidRPr="00AF41CC">
        <w:rPr>
          <w:rFonts w:ascii="Times New Roman" w:hAnsi="Times New Roman" w:cs="Times New Roman"/>
          <w:sz w:val="24"/>
          <w:szCs w:val="24"/>
        </w:rPr>
        <w:t xml:space="preserve">ertains analystes </w:t>
      </w:r>
      <w:r w:rsidR="00AA48B4" w:rsidRPr="00AF41CC">
        <w:rPr>
          <w:rFonts w:ascii="Times New Roman" w:hAnsi="Times New Roman" w:cs="Times New Roman"/>
          <w:sz w:val="24"/>
          <w:szCs w:val="24"/>
        </w:rPr>
        <w:t>p</w:t>
      </w:r>
      <w:r w:rsidR="00706F67" w:rsidRPr="00AF41CC">
        <w:rPr>
          <w:rFonts w:ascii="Times New Roman" w:hAnsi="Times New Roman" w:cs="Times New Roman"/>
          <w:sz w:val="24"/>
          <w:szCs w:val="24"/>
        </w:rPr>
        <w:t>arient sur</w:t>
      </w:r>
      <w:r w:rsidR="00AA48B4" w:rsidRPr="00AF41CC">
        <w:rPr>
          <w:rFonts w:ascii="Times New Roman" w:hAnsi="Times New Roman" w:cs="Times New Roman"/>
          <w:sz w:val="24"/>
          <w:szCs w:val="24"/>
        </w:rPr>
        <w:t xml:space="preserve"> le remplacement du néolibéralisme par un </w:t>
      </w:r>
      <w:r w:rsidR="003A1214" w:rsidRPr="00AF41CC">
        <w:rPr>
          <w:rFonts w:ascii="Times New Roman" w:hAnsi="Times New Roman" w:cs="Times New Roman"/>
          <w:sz w:val="24"/>
          <w:szCs w:val="24"/>
        </w:rPr>
        <w:t>« </w:t>
      </w:r>
      <w:r w:rsidR="00AA48B4" w:rsidRPr="00AF41CC">
        <w:rPr>
          <w:rFonts w:ascii="Times New Roman" w:hAnsi="Times New Roman" w:cs="Times New Roman"/>
          <w:sz w:val="24"/>
          <w:szCs w:val="24"/>
        </w:rPr>
        <w:t>libertari</w:t>
      </w:r>
      <w:r w:rsidR="003A1214" w:rsidRPr="00AF41CC">
        <w:rPr>
          <w:rFonts w:ascii="Times New Roman" w:hAnsi="Times New Roman" w:cs="Times New Roman"/>
          <w:sz w:val="24"/>
          <w:szCs w:val="24"/>
        </w:rPr>
        <w:t>a</w:t>
      </w:r>
      <w:r w:rsidR="00AA48B4" w:rsidRPr="00AF41CC">
        <w:rPr>
          <w:rFonts w:ascii="Times New Roman" w:hAnsi="Times New Roman" w:cs="Times New Roman"/>
          <w:sz w:val="24"/>
          <w:szCs w:val="24"/>
        </w:rPr>
        <w:t>nisme autoritaire »</w:t>
      </w:r>
      <w:r w:rsidR="003A1214" w:rsidRPr="00AF41CC">
        <w:rPr>
          <w:rFonts w:ascii="Times New Roman" w:hAnsi="Times New Roman" w:cs="Times New Roman"/>
          <w:sz w:val="24"/>
          <w:szCs w:val="24"/>
        </w:rPr>
        <w:t xml:space="preserve"> </w:t>
      </w:r>
      <w:r w:rsidR="00777656" w:rsidRPr="00AF41CC">
        <w:rPr>
          <w:rFonts w:ascii="Times New Roman" w:hAnsi="Times New Roman" w:cs="Times New Roman"/>
          <w:sz w:val="24"/>
          <w:szCs w:val="24"/>
        </w:rPr>
        <w:t>(</w:t>
      </w:r>
      <w:r w:rsidR="00142F62" w:rsidRPr="00AF41CC">
        <w:rPr>
          <w:rFonts w:ascii="Times New Roman" w:hAnsi="Times New Roman" w:cs="Times New Roman"/>
          <w:sz w:val="24"/>
          <w:szCs w:val="24"/>
        </w:rPr>
        <w:t>« l</w:t>
      </w:r>
      <w:r w:rsidR="00777656" w:rsidRPr="00AF41CC">
        <w:rPr>
          <w:rFonts w:ascii="Times New Roman" w:hAnsi="Times New Roman" w:cs="Times New Roman"/>
          <w:sz w:val="24"/>
          <w:szCs w:val="24"/>
        </w:rPr>
        <w:t>ibertarien</w:t>
      </w:r>
      <w:r w:rsidR="00142F62" w:rsidRPr="00AF41CC">
        <w:rPr>
          <w:rFonts w:ascii="Times New Roman" w:hAnsi="Times New Roman" w:cs="Times New Roman"/>
          <w:sz w:val="24"/>
          <w:szCs w:val="24"/>
        </w:rPr>
        <w:t> »</w:t>
      </w:r>
      <w:r w:rsidR="00777656" w:rsidRPr="00AF41CC">
        <w:rPr>
          <w:rFonts w:ascii="Times New Roman" w:hAnsi="Times New Roman" w:cs="Times New Roman"/>
          <w:sz w:val="24"/>
          <w:szCs w:val="24"/>
        </w:rPr>
        <w:t xml:space="preserve"> sur le plan économique</w:t>
      </w:r>
      <w:r w:rsidR="00CE3A37" w:rsidRPr="00AF41CC">
        <w:rPr>
          <w:rFonts w:ascii="Times New Roman" w:hAnsi="Times New Roman" w:cs="Times New Roman"/>
          <w:sz w:val="24"/>
          <w:szCs w:val="24"/>
        </w:rPr>
        <w:t>,</w:t>
      </w:r>
      <w:r w:rsidR="00777656" w:rsidRPr="00AF41CC">
        <w:rPr>
          <w:rFonts w:ascii="Times New Roman" w:hAnsi="Times New Roman" w:cs="Times New Roman"/>
          <w:sz w:val="24"/>
          <w:szCs w:val="24"/>
        </w:rPr>
        <w:t xml:space="preserve"> </w:t>
      </w:r>
      <w:r w:rsidR="00142F62" w:rsidRPr="00AF41CC">
        <w:rPr>
          <w:rFonts w:ascii="Times New Roman" w:hAnsi="Times New Roman" w:cs="Times New Roman"/>
          <w:sz w:val="24"/>
          <w:szCs w:val="24"/>
        </w:rPr>
        <w:t>« </w:t>
      </w:r>
      <w:r w:rsidR="00777656" w:rsidRPr="00AF41CC">
        <w:rPr>
          <w:rFonts w:ascii="Times New Roman" w:hAnsi="Times New Roman" w:cs="Times New Roman"/>
          <w:sz w:val="24"/>
          <w:szCs w:val="24"/>
        </w:rPr>
        <w:t>autoritaire</w:t>
      </w:r>
      <w:r w:rsidR="00142F62" w:rsidRPr="00AF41CC">
        <w:rPr>
          <w:rFonts w:ascii="Times New Roman" w:hAnsi="Times New Roman" w:cs="Times New Roman"/>
          <w:sz w:val="24"/>
          <w:szCs w:val="24"/>
        </w:rPr>
        <w:t> »</w:t>
      </w:r>
      <w:r w:rsidR="00777656" w:rsidRPr="00AF41CC">
        <w:rPr>
          <w:rFonts w:ascii="Times New Roman" w:hAnsi="Times New Roman" w:cs="Times New Roman"/>
          <w:sz w:val="24"/>
          <w:szCs w:val="24"/>
        </w:rPr>
        <w:t xml:space="preserve"> sur le plan politique) </w:t>
      </w:r>
      <w:r w:rsidR="003A1214" w:rsidRPr="00AF41CC">
        <w:rPr>
          <w:rFonts w:ascii="Times New Roman" w:hAnsi="Times New Roman" w:cs="Times New Roman"/>
          <w:sz w:val="24"/>
          <w:szCs w:val="24"/>
        </w:rPr>
        <w:t>qui formerait un « projet politique » cohérent né dans les rangs de la nouvelle finance (</w:t>
      </w:r>
      <w:r w:rsidR="00D17C8A" w:rsidRPr="00AF41CC">
        <w:rPr>
          <w:rFonts w:ascii="Times New Roman" w:hAnsi="Times New Roman" w:cs="Times New Roman"/>
          <w:sz w:val="24"/>
          <w:szCs w:val="24"/>
        </w:rPr>
        <w:t xml:space="preserve">fonds de capital-investissement et </w:t>
      </w:r>
      <w:r w:rsidR="003A1214" w:rsidRPr="00AF41CC">
        <w:rPr>
          <w:rFonts w:ascii="Times New Roman" w:hAnsi="Times New Roman" w:cs="Times New Roman"/>
          <w:i/>
          <w:iCs/>
          <w:sz w:val="24"/>
          <w:szCs w:val="24"/>
        </w:rPr>
        <w:t>hedge funds</w:t>
      </w:r>
      <w:r w:rsidR="00D17C8A" w:rsidRPr="00AF41CC">
        <w:rPr>
          <w:rFonts w:ascii="Times New Roman" w:hAnsi="Times New Roman" w:cs="Times New Roman"/>
          <w:sz w:val="24"/>
          <w:szCs w:val="24"/>
        </w:rPr>
        <w:t xml:space="preserve">) </w:t>
      </w:r>
      <w:r w:rsidR="003A1214" w:rsidRPr="00AF41CC">
        <w:rPr>
          <w:rFonts w:ascii="Times New Roman" w:hAnsi="Times New Roman" w:cs="Times New Roman"/>
          <w:sz w:val="24"/>
          <w:szCs w:val="24"/>
        </w:rPr>
        <w:t xml:space="preserve">et </w:t>
      </w:r>
      <w:r w:rsidR="003E34C9" w:rsidRPr="00AF41CC">
        <w:rPr>
          <w:rFonts w:ascii="Times New Roman" w:hAnsi="Times New Roman" w:cs="Times New Roman"/>
          <w:sz w:val="24"/>
          <w:szCs w:val="24"/>
        </w:rPr>
        <w:t xml:space="preserve">qui </w:t>
      </w:r>
      <w:r w:rsidR="00F916E7" w:rsidRPr="00AF41CC">
        <w:rPr>
          <w:rFonts w:ascii="Times New Roman" w:hAnsi="Times New Roman" w:cs="Times New Roman"/>
          <w:sz w:val="24"/>
          <w:szCs w:val="24"/>
        </w:rPr>
        <w:t xml:space="preserve">serait </w:t>
      </w:r>
      <w:r w:rsidR="003A1214" w:rsidRPr="00AF41CC">
        <w:rPr>
          <w:rFonts w:ascii="Times New Roman" w:hAnsi="Times New Roman" w:cs="Times New Roman"/>
          <w:sz w:val="24"/>
          <w:szCs w:val="24"/>
        </w:rPr>
        <w:t>en passe de devenir dominant à l’échelle mondiale</w:t>
      </w:r>
      <w:r w:rsidR="006A2BD3" w:rsidRPr="00AF41CC">
        <w:rPr>
          <w:rStyle w:val="Appelnotedebasdep"/>
          <w:rFonts w:ascii="Times New Roman" w:hAnsi="Times New Roman" w:cs="Times New Roman"/>
          <w:sz w:val="24"/>
          <w:szCs w:val="24"/>
        </w:rPr>
        <w:footnoteReference w:id="24"/>
      </w:r>
      <w:r w:rsidR="000D5266" w:rsidRPr="00AF41CC">
        <w:rPr>
          <w:rFonts w:ascii="Times New Roman" w:hAnsi="Times New Roman" w:cs="Times New Roman"/>
          <w:sz w:val="24"/>
          <w:szCs w:val="24"/>
        </w:rPr>
        <w:t xml:space="preserve">. </w:t>
      </w:r>
      <w:r w:rsidR="00D17C8A" w:rsidRPr="00AF41CC">
        <w:rPr>
          <w:rFonts w:ascii="Times New Roman" w:hAnsi="Times New Roman" w:cs="Times New Roman"/>
          <w:sz w:val="24"/>
          <w:szCs w:val="24"/>
        </w:rPr>
        <w:t>Dans cette perspective, l’UE relève</w:t>
      </w:r>
      <w:r w:rsidR="00F916E7" w:rsidRPr="00AF41CC">
        <w:rPr>
          <w:rFonts w:ascii="Times New Roman" w:hAnsi="Times New Roman" w:cs="Times New Roman"/>
          <w:sz w:val="24"/>
          <w:szCs w:val="24"/>
        </w:rPr>
        <w:t>rait encore</w:t>
      </w:r>
      <w:r w:rsidR="00D17C8A" w:rsidRPr="00AF41CC">
        <w:rPr>
          <w:rFonts w:ascii="Times New Roman" w:hAnsi="Times New Roman" w:cs="Times New Roman"/>
          <w:sz w:val="24"/>
          <w:szCs w:val="24"/>
        </w:rPr>
        <w:t xml:space="preserve"> d’un </w:t>
      </w:r>
      <w:r w:rsidR="00F916E7" w:rsidRPr="00AF41CC">
        <w:rPr>
          <w:rFonts w:ascii="Times New Roman" w:hAnsi="Times New Roman" w:cs="Times New Roman"/>
          <w:sz w:val="24"/>
          <w:szCs w:val="24"/>
        </w:rPr>
        <w:t>« </w:t>
      </w:r>
      <w:r w:rsidR="00D17C8A" w:rsidRPr="00AF41CC">
        <w:rPr>
          <w:rFonts w:ascii="Times New Roman" w:hAnsi="Times New Roman" w:cs="Times New Roman"/>
          <w:sz w:val="24"/>
          <w:szCs w:val="24"/>
        </w:rPr>
        <w:t>néolibéralisme démocratique</w:t>
      </w:r>
      <w:r w:rsidR="00F916E7" w:rsidRPr="00AF41CC">
        <w:rPr>
          <w:rFonts w:ascii="Times New Roman" w:hAnsi="Times New Roman" w:cs="Times New Roman"/>
          <w:sz w:val="24"/>
          <w:szCs w:val="24"/>
        </w:rPr>
        <w:t> »</w:t>
      </w:r>
      <w:r w:rsidR="00DD1E48" w:rsidRPr="00AF41CC">
        <w:rPr>
          <w:rFonts w:ascii="Times New Roman" w:hAnsi="Times New Roman" w:cs="Times New Roman"/>
          <w:sz w:val="24"/>
          <w:szCs w:val="24"/>
        </w:rPr>
        <w:t xml:space="preserve"> avec lequel ce projet entendrait rompre</w:t>
      </w:r>
      <w:r w:rsidR="00BF6CBD" w:rsidRPr="00AF41CC">
        <w:rPr>
          <w:rFonts w:ascii="Times New Roman" w:hAnsi="Times New Roman" w:cs="Times New Roman"/>
          <w:sz w:val="24"/>
          <w:szCs w:val="24"/>
        </w:rPr>
        <w:t xml:space="preserve">, ce qui </w:t>
      </w:r>
      <w:r w:rsidR="00566625" w:rsidRPr="00AF41CC">
        <w:rPr>
          <w:rFonts w:ascii="Times New Roman" w:hAnsi="Times New Roman" w:cs="Times New Roman"/>
          <w:sz w:val="24"/>
          <w:szCs w:val="24"/>
        </w:rPr>
        <w:t>permettrait d’</w:t>
      </w:r>
      <w:r w:rsidR="00BF6CBD" w:rsidRPr="00AF41CC">
        <w:rPr>
          <w:rFonts w:ascii="Times New Roman" w:hAnsi="Times New Roman" w:cs="Times New Roman"/>
          <w:sz w:val="24"/>
          <w:szCs w:val="24"/>
        </w:rPr>
        <w:t>expliquer le Brexit</w:t>
      </w:r>
      <w:r w:rsidR="006A2BD3" w:rsidRPr="00AF41CC">
        <w:rPr>
          <w:rFonts w:ascii="Times New Roman" w:hAnsi="Times New Roman" w:cs="Times New Roman"/>
          <w:sz w:val="24"/>
          <w:szCs w:val="24"/>
        </w:rPr>
        <w:t>. Ces deux présentations ont en commun une même prémisse</w:t>
      </w:r>
      <w:r w:rsidR="003E34C9" w:rsidRPr="00AF41CC">
        <w:rPr>
          <w:rFonts w:ascii="Times New Roman" w:hAnsi="Times New Roman" w:cs="Times New Roman"/>
          <w:sz w:val="24"/>
          <w:szCs w:val="24"/>
        </w:rPr>
        <w:t xml:space="preserve"> : la circulation transnationale </w:t>
      </w:r>
      <w:r w:rsidR="006102AC" w:rsidRPr="00AF41CC">
        <w:rPr>
          <w:rFonts w:ascii="Times New Roman" w:hAnsi="Times New Roman" w:cs="Times New Roman"/>
          <w:sz w:val="24"/>
          <w:szCs w:val="24"/>
        </w:rPr>
        <w:t>des flux de capitaux</w:t>
      </w:r>
      <w:r w:rsidR="003E34C9" w:rsidRPr="00AF41CC">
        <w:rPr>
          <w:rFonts w:ascii="Times New Roman" w:hAnsi="Times New Roman" w:cs="Times New Roman"/>
          <w:sz w:val="24"/>
          <w:szCs w:val="24"/>
        </w:rPr>
        <w:t xml:space="preserve"> gagnerait à se passer de l’Etat pour se réaliser </w:t>
      </w:r>
      <w:r w:rsidR="003E34C9" w:rsidRPr="00AF41CC">
        <w:rPr>
          <w:rFonts w:ascii="Times New Roman" w:hAnsi="Times New Roman" w:cs="Times New Roman"/>
          <w:i/>
          <w:iCs/>
          <w:sz w:val="24"/>
          <w:szCs w:val="24"/>
        </w:rPr>
        <w:t xml:space="preserve">directement </w:t>
      </w:r>
      <w:r w:rsidR="003E34C9" w:rsidRPr="00AF41CC">
        <w:rPr>
          <w:rFonts w:ascii="Times New Roman" w:hAnsi="Times New Roman" w:cs="Times New Roman"/>
          <w:sz w:val="24"/>
          <w:szCs w:val="24"/>
        </w:rPr>
        <w:t>et</w:t>
      </w:r>
      <w:r w:rsidR="003E34C9" w:rsidRPr="00AF41CC">
        <w:rPr>
          <w:rFonts w:ascii="Times New Roman" w:hAnsi="Times New Roman" w:cs="Times New Roman"/>
          <w:i/>
          <w:iCs/>
          <w:sz w:val="24"/>
          <w:szCs w:val="24"/>
        </w:rPr>
        <w:t xml:space="preserve"> immédiatement</w:t>
      </w:r>
      <w:r w:rsidR="003854C3" w:rsidRPr="00AF41CC">
        <w:rPr>
          <w:rFonts w:ascii="Times New Roman" w:hAnsi="Times New Roman" w:cs="Times New Roman"/>
          <w:sz w:val="24"/>
          <w:szCs w:val="24"/>
        </w:rPr>
        <w:t xml:space="preserve">, </w:t>
      </w:r>
      <w:r w:rsidR="006102AC" w:rsidRPr="00AF41CC">
        <w:rPr>
          <w:rFonts w:ascii="Times New Roman" w:hAnsi="Times New Roman" w:cs="Times New Roman"/>
          <w:sz w:val="24"/>
          <w:szCs w:val="24"/>
        </w:rPr>
        <w:t xml:space="preserve">comme si l’Etat </w:t>
      </w:r>
      <w:r w:rsidR="00665791" w:rsidRPr="00AF41CC">
        <w:rPr>
          <w:rFonts w:ascii="Times New Roman" w:hAnsi="Times New Roman" w:cs="Times New Roman"/>
          <w:sz w:val="24"/>
          <w:szCs w:val="24"/>
        </w:rPr>
        <w:t>faisait obstacle par sa souveraineté à</w:t>
      </w:r>
      <w:r w:rsidR="003854C3" w:rsidRPr="00AF41CC">
        <w:rPr>
          <w:rFonts w:ascii="Times New Roman" w:hAnsi="Times New Roman" w:cs="Times New Roman"/>
          <w:sz w:val="24"/>
          <w:szCs w:val="24"/>
        </w:rPr>
        <w:t xml:space="preserve"> </w:t>
      </w:r>
      <w:r w:rsidR="006102AC" w:rsidRPr="00AF41CC">
        <w:rPr>
          <w:rFonts w:ascii="Times New Roman" w:hAnsi="Times New Roman" w:cs="Times New Roman"/>
          <w:sz w:val="24"/>
          <w:szCs w:val="24"/>
        </w:rPr>
        <w:t>la souveraineté du capital.</w:t>
      </w:r>
      <w:r w:rsidR="0065089E" w:rsidRPr="00AF41CC">
        <w:rPr>
          <w:rFonts w:ascii="Times New Roman" w:hAnsi="Times New Roman" w:cs="Times New Roman"/>
          <w:sz w:val="24"/>
          <w:szCs w:val="24"/>
        </w:rPr>
        <w:t xml:space="preserve"> </w:t>
      </w:r>
      <w:r w:rsidR="0067605B" w:rsidRPr="00AF41CC">
        <w:rPr>
          <w:rFonts w:ascii="Times New Roman" w:hAnsi="Times New Roman" w:cs="Times New Roman"/>
          <w:sz w:val="24"/>
          <w:szCs w:val="24"/>
        </w:rPr>
        <w:t>Contre cette illusion, il faut affirmer que l</w:t>
      </w:r>
      <w:r w:rsidR="0065089E" w:rsidRPr="00AF41CC">
        <w:rPr>
          <w:rFonts w:ascii="Times New Roman" w:hAnsi="Times New Roman" w:cs="Times New Roman"/>
          <w:sz w:val="24"/>
          <w:szCs w:val="24"/>
        </w:rPr>
        <w:t xml:space="preserve">e capital n’est pas ce nouveau </w:t>
      </w:r>
      <w:r w:rsidR="00D778CA" w:rsidRPr="00AF41CC">
        <w:rPr>
          <w:rFonts w:ascii="Times New Roman" w:hAnsi="Times New Roman" w:cs="Times New Roman"/>
          <w:sz w:val="24"/>
          <w:szCs w:val="24"/>
        </w:rPr>
        <w:t>« </w:t>
      </w:r>
      <w:r w:rsidR="0065089E" w:rsidRPr="00AF41CC">
        <w:rPr>
          <w:rFonts w:ascii="Times New Roman" w:hAnsi="Times New Roman" w:cs="Times New Roman"/>
          <w:sz w:val="24"/>
          <w:szCs w:val="24"/>
        </w:rPr>
        <w:t>souverain global</w:t>
      </w:r>
      <w:r w:rsidR="00D778CA" w:rsidRPr="00AF41CC">
        <w:rPr>
          <w:rFonts w:ascii="Times New Roman" w:hAnsi="Times New Roman" w:cs="Times New Roman"/>
          <w:sz w:val="24"/>
          <w:szCs w:val="24"/>
        </w:rPr>
        <w:t> »</w:t>
      </w:r>
      <w:r w:rsidR="0065089E" w:rsidRPr="00AF41CC">
        <w:rPr>
          <w:rFonts w:ascii="Times New Roman" w:hAnsi="Times New Roman" w:cs="Times New Roman"/>
          <w:sz w:val="24"/>
          <w:szCs w:val="24"/>
        </w:rPr>
        <w:t xml:space="preserve"> </w:t>
      </w:r>
      <w:r w:rsidR="00D778CA" w:rsidRPr="00AF41CC">
        <w:rPr>
          <w:rFonts w:ascii="Times New Roman" w:hAnsi="Times New Roman" w:cs="Times New Roman"/>
          <w:sz w:val="24"/>
          <w:szCs w:val="24"/>
        </w:rPr>
        <w:t xml:space="preserve">apte à exercer directement et immédiatement sa domination sur les sociétés. Il n’est pas un souverain du tout, mais une puissance anonyme </w:t>
      </w:r>
      <w:r w:rsidR="00566625" w:rsidRPr="00AF41CC">
        <w:rPr>
          <w:rFonts w:ascii="Times New Roman" w:hAnsi="Times New Roman" w:cs="Times New Roman"/>
          <w:sz w:val="24"/>
          <w:szCs w:val="24"/>
        </w:rPr>
        <w:t>dont le déploiement</w:t>
      </w:r>
      <w:r w:rsidR="00D778CA" w:rsidRPr="00AF41CC">
        <w:rPr>
          <w:rFonts w:ascii="Times New Roman" w:hAnsi="Times New Roman" w:cs="Times New Roman"/>
          <w:sz w:val="24"/>
          <w:szCs w:val="24"/>
        </w:rPr>
        <w:t xml:space="preserve"> </w:t>
      </w:r>
      <w:r w:rsidR="00566625" w:rsidRPr="00AF41CC">
        <w:rPr>
          <w:rFonts w:ascii="Times New Roman" w:hAnsi="Times New Roman" w:cs="Times New Roman"/>
          <w:sz w:val="24"/>
          <w:szCs w:val="24"/>
        </w:rPr>
        <w:t xml:space="preserve">requiert la </w:t>
      </w:r>
      <w:r w:rsidR="00566625" w:rsidRPr="00AF41CC">
        <w:rPr>
          <w:rFonts w:ascii="Times New Roman" w:hAnsi="Times New Roman" w:cs="Times New Roman"/>
          <w:i/>
          <w:iCs/>
          <w:sz w:val="24"/>
          <w:szCs w:val="24"/>
        </w:rPr>
        <w:t>médiation</w:t>
      </w:r>
      <w:r w:rsidR="00566625" w:rsidRPr="00AF41CC">
        <w:rPr>
          <w:rFonts w:ascii="Times New Roman" w:hAnsi="Times New Roman" w:cs="Times New Roman"/>
          <w:sz w:val="24"/>
          <w:szCs w:val="24"/>
        </w:rPr>
        <w:t xml:space="preserve"> </w:t>
      </w:r>
      <w:r w:rsidR="00BD09AC" w:rsidRPr="00AF41CC">
        <w:rPr>
          <w:rFonts w:ascii="Times New Roman" w:hAnsi="Times New Roman" w:cs="Times New Roman"/>
          <w:sz w:val="24"/>
          <w:szCs w:val="24"/>
        </w:rPr>
        <w:t xml:space="preserve">active </w:t>
      </w:r>
      <w:r w:rsidR="00566625" w:rsidRPr="00AF41CC">
        <w:rPr>
          <w:rFonts w:ascii="Times New Roman" w:hAnsi="Times New Roman" w:cs="Times New Roman"/>
          <w:sz w:val="24"/>
          <w:szCs w:val="24"/>
        </w:rPr>
        <w:t>d</w:t>
      </w:r>
      <w:r w:rsidR="00BD09AC" w:rsidRPr="00AF41CC">
        <w:rPr>
          <w:rFonts w:ascii="Times New Roman" w:hAnsi="Times New Roman" w:cs="Times New Roman"/>
          <w:sz w:val="24"/>
          <w:szCs w:val="24"/>
        </w:rPr>
        <w:t>e l’</w:t>
      </w:r>
      <w:r w:rsidR="00D778CA" w:rsidRPr="00AF41CC">
        <w:rPr>
          <w:rFonts w:ascii="Times New Roman" w:hAnsi="Times New Roman" w:cs="Times New Roman"/>
          <w:sz w:val="24"/>
          <w:szCs w:val="24"/>
        </w:rPr>
        <w:t>Etat</w:t>
      </w:r>
      <w:r w:rsidR="00670ACA" w:rsidRPr="00AF41CC">
        <w:rPr>
          <w:rFonts w:ascii="Times New Roman" w:hAnsi="Times New Roman" w:cs="Times New Roman"/>
          <w:sz w:val="24"/>
          <w:szCs w:val="24"/>
        </w:rPr>
        <w:t xml:space="preserve">, </w:t>
      </w:r>
      <w:r w:rsidR="00237A10" w:rsidRPr="00AF41CC">
        <w:rPr>
          <w:rFonts w:ascii="Times New Roman" w:hAnsi="Times New Roman" w:cs="Times New Roman"/>
          <w:sz w:val="24"/>
          <w:szCs w:val="24"/>
        </w:rPr>
        <w:t xml:space="preserve">qui plus est </w:t>
      </w:r>
      <w:r w:rsidR="00670ACA" w:rsidRPr="00AF41CC">
        <w:rPr>
          <w:rFonts w:ascii="Times New Roman" w:hAnsi="Times New Roman" w:cs="Times New Roman"/>
          <w:sz w:val="24"/>
          <w:szCs w:val="24"/>
        </w:rPr>
        <w:t>celle d’un Etat fort</w:t>
      </w:r>
      <w:r w:rsidR="00BD09AC" w:rsidRPr="00AF41CC">
        <w:rPr>
          <w:rFonts w:ascii="Times New Roman" w:hAnsi="Times New Roman" w:cs="Times New Roman"/>
          <w:sz w:val="24"/>
          <w:szCs w:val="24"/>
        </w:rPr>
        <w:t>.</w:t>
      </w:r>
      <w:r w:rsidR="00566625" w:rsidRPr="00AF41CC">
        <w:rPr>
          <w:rFonts w:ascii="Times New Roman" w:hAnsi="Times New Roman" w:cs="Times New Roman"/>
          <w:sz w:val="24"/>
          <w:szCs w:val="24"/>
        </w:rPr>
        <w:t xml:space="preserve"> </w:t>
      </w:r>
    </w:p>
    <w:p w14:paraId="25785E8F" w14:textId="1EEDE77A" w:rsidR="00D8729A" w:rsidRPr="00AF41CC" w:rsidRDefault="001A0AF2" w:rsidP="00A65F28">
      <w:pPr>
        <w:tabs>
          <w:tab w:val="left" w:pos="1320"/>
        </w:tabs>
        <w:spacing w:line="360" w:lineRule="auto"/>
        <w:jc w:val="both"/>
        <w:rPr>
          <w:rFonts w:ascii="Times New Roman" w:hAnsi="Times New Roman" w:cs="Times New Roman"/>
          <w:sz w:val="24"/>
          <w:szCs w:val="24"/>
        </w:rPr>
      </w:pPr>
      <w:r w:rsidRPr="00AF41CC">
        <w:rPr>
          <w:rFonts w:ascii="Times New Roman" w:hAnsi="Times New Roman" w:cs="Times New Roman"/>
          <w:sz w:val="24"/>
          <w:szCs w:val="24"/>
        </w:rPr>
        <w:t>Evoquant</w:t>
      </w:r>
      <w:r w:rsidR="00BD09AC" w:rsidRPr="00AF41CC">
        <w:rPr>
          <w:rFonts w:ascii="Times New Roman" w:hAnsi="Times New Roman" w:cs="Times New Roman"/>
          <w:sz w:val="24"/>
          <w:szCs w:val="24"/>
        </w:rPr>
        <w:t xml:space="preserve"> la fonction de régulation des flux de capitaux </w:t>
      </w:r>
      <w:r w:rsidR="00B074B7" w:rsidRPr="00AF41CC">
        <w:rPr>
          <w:rFonts w:ascii="Times New Roman" w:hAnsi="Times New Roman" w:cs="Times New Roman"/>
          <w:sz w:val="24"/>
          <w:szCs w:val="24"/>
        </w:rPr>
        <w:t xml:space="preserve">exercée par </w:t>
      </w:r>
      <w:r w:rsidR="00BD09AC" w:rsidRPr="00AF41CC">
        <w:rPr>
          <w:rFonts w:ascii="Times New Roman" w:hAnsi="Times New Roman" w:cs="Times New Roman"/>
          <w:sz w:val="24"/>
          <w:szCs w:val="24"/>
        </w:rPr>
        <w:t xml:space="preserve">l’Etat moderne, </w:t>
      </w:r>
      <w:r w:rsidR="00D8729A" w:rsidRPr="00AF41CC">
        <w:rPr>
          <w:rFonts w:ascii="Times New Roman" w:hAnsi="Times New Roman" w:cs="Times New Roman"/>
          <w:sz w:val="24"/>
          <w:szCs w:val="24"/>
        </w:rPr>
        <w:t>Deleuze</w:t>
      </w:r>
      <w:r w:rsidR="00780369" w:rsidRPr="00AF41CC">
        <w:rPr>
          <w:rFonts w:ascii="Times New Roman" w:hAnsi="Times New Roman" w:cs="Times New Roman"/>
          <w:sz w:val="24"/>
          <w:szCs w:val="24"/>
        </w:rPr>
        <w:t xml:space="preserve"> et Guattari</w:t>
      </w:r>
      <w:r w:rsidR="0067605B" w:rsidRPr="00AF41CC">
        <w:rPr>
          <w:rFonts w:ascii="Times New Roman" w:hAnsi="Times New Roman" w:cs="Times New Roman"/>
          <w:sz w:val="24"/>
          <w:szCs w:val="24"/>
        </w:rPr>
        <w:t xml:space="preserve"> </w:t>
      </w:r>
      <w:r w:rsidR="00F16A59" w:rsidRPr="00AF41CC">
        <w:rPr>
          <w:rFonts w:ascii="Times New Roman" w:hAnsi="Times New Roman" w:cs="Times New Roman"/>
          <w:sz w:val="24"/>
          <w:szCs w:val="24"/>
        </w:rPr>
        <w:t>observ</w:t>
      </w:r>
      <w:r w:rsidR="0067605B" w:rsidRPr="00AF41CC">
        <w:rPr>
          <w:rFonts w:ascii="Times New Roman" w:hAnsi="Times New Roman" w:cs="Times New Roman"/>
          <w:sz w:val="24"/>
          <w:szCs w:val="24"/>
        </w:rPr>
        <w:t xml:space="preserve">aient </w:t>
      </w:r>
      <w:r w:rsidR="004A3485" w:rsidRPr="00AF41CC">
        <w:rPr>
          <w:rFonts w:ascii="Times New Roman" w:hAnsi="Times New Roman" w:cs="Times New Roman"/>
          <w:sz w:val="24"/>
          <w:szCs w:val="24"/>
        </w:rPr>
        <w:t xml:space="preserve">plaisamment </w:t>
      </w:r>
      <w:r w:rsidR="00BD09AC" w:rsidRPr="00AF41CC">
        <w:rPr>
          <w:rFonts w:ascii="Times New Roman" w:hAnsi="Times New Roman" w:cs="Times New Roman"/>
          <w:sz w:val="24"/>
          <w:szCs w:val="24"/>
        </w:rPr>
        <w:t xml:space="preserve">dans </w:t>
      </w:r>
      <w:r w:rsidR="00BD09AC" w:rsidRPr="00AF41CC">
        <w:rPr>
          <w:rFonts w:ascii="Times New Roman" w:hAnsi="Times New Roman" w:cs="Times New Roman"/>
          <w:i/>
          <w:iCs/>
          <w:sz w:val="24"/>
          <w:szCs w:val="24"/>
        </w:rPr>
        <w:t>L’Anti-Œdipe</w:t>
      </w:r>
      <w:r w:rsidR="00BD09AC" w:rsidRPr="00AF41CC">
        <w:rPr>
          <w:rFonts w:ascii="Times New Roman" w:hAnsi="Times New Roman" w:cs="Times New Roman"/>
          <w:sz w:val="24"/>
          <w:szCs w:val="24"/>
        </w:rPr>
        <w:t xml:space="preserve"> </w:t>
      </w:r>
      <w:r w:rsidR="00780369" w:rsidRPr="00AF41CC">
        <w:rPr>
          <w:rFonts w:ascii="Times New Roman" w:hAnsi="Times New Roman" w:cs="Times New Roman"/>
          <w:sz w:val="24"/>
          <w:szCs w:val="24"/>
        </w:rPr>
        <w:t>: « On a parfois l’impression que les flux de capitaux s’enverraient volontiers dans la lune, si l’Etat capitaliste n’était là pour les ramener sur terre. </w:t>
      </w:r>
      <w:r w:rsidR="00780369" w:rsidRPr="00AF41CC">
        <w:rPr>
          <w:rStyle w:val="Appelnotedebasdep"/>
          <w:rFonts w:ascii="Times New Roman" w:hAnsi="Times New Roman" w:cs="Times New Roman"/>
          <w:sz w:val="24"/>
          <w:szCs w:val="24"/>
        </w:rPr>
        <w:footnoteReference w:id="25"/>
      </w:r>
      <w:r w:rsidR="00780369" w:rsidRPr="00AF41CC">
        <w:rPr>
          <w:rFonts w:ascii="Times New Roman" w:hAnsi="Times New Roman" w:cs="Times New Roman"/>
          <w:sz w:val="24"/>
          <w:szCs w:val="24"/>
        </w:rPr>
        <w:t>»</w:t>
      </w:r>
      <w:r w:rsidR="004A3485" w:rsidRPr="00AF41CC">
        <w:rPr>
          <w:rFonts w:ascii="Times New Roman" w:hAnsi="Times New Roman" w:cs="Times New Roman"/>
          <w:sz w:val="24"/>
          <w:szCs w:val="24"/>
        </w:rPr>
        <w:t xml:space="preserve"> </w:t>
      </w:r>
      <w:r w:rsidR="001A3E9A" w:rsidRPr="00AF41CC">
        <w:rPr>
          <w:rFonts w:ascii="Times New Roman" w:hAnsi="Times New Roman" w:cs="Times New Roman"/>
          <w:sz w:val="24"/>
          <w:szCs w:val="24"/>
        </w:rPr>
        <w:t>De fait,</w:t>
      </w:r>
      <w:r w:rsidR="004A3485" w:rsidRPr="00AF41CC">
        <w:rPr>
          <w:rFonts w:ascii="Times New Roman" w:hAnsi="Times New Roman" w:cs="Times New Roman"/>
          <w:sz w:val="24"/>
          <w:szCs w:val="24"/>
        </w:rPr>
        <w:t xml:space="preserve"> l’Etat capitaliste est</w:t>
      </w:r>
      <w:r w:rsidR="00750917" w:rsidRPr="00AF41CC">
        <w:rPr>
          <w:rFonts w:ascii="Times New Roman" w:hAnsi="Times New Roman" w:cs="Times New Roman"/>
          <w:sz w:val="24"/>
          <w:szCs w:val="24"/>
        </w:rPr>
        <w:t xml:space="preserve"> là </w:t>
      </w:r>
      <w:r w:rsidR="004A3485" w:rsidRPr="00AF41CC">
        <w:rPr>
          <w:rFonts w:ascii="Times New Roman" w:hAnsi="Times New Roman" w:cs="Times New Roman"/>
          <w:sz w:val="24"/>
          <w:szCs w:val="24"/>
        </w:rPr>
        <w:t>plus que jamais, mais sa fonction a changé avec le néolibéralisme</w:t>
      </w:r>
      <w:r w:rsidR="00FE34B5" w:rsidRPr="00AF41CC">
        <w:rPr>
          <w:rFonts w:ascii="Times New Roman" w:hAnsi="Times New Roman" w:cs="Times New Roman"/>
          <w:sz w:val="24"/>
          <w:szCs w:val="24"/>
        </w:rPr>
        <w:t xml:space="preserve">. </w:t>
      </w:r>
      <w:r w:rsidR="0032113F" w:rsidRPr="00AF41CC">
        <w:rPr>
          <w:rFonts w:ascii="Times New Roman" w:hAnsi="Times New Roman" w:cs="Times New Roman"/>
          <w:sz w:val="24"/>
          <w:szCs w:val="24"/>
        </w:rPr>
        <w:t xml:space="preserve">Saskia Sassen a montré </w:t>
      </w:r>
      <w:r w:rsidR="00CA418C" w:rsidRPr="00AF41CC">
        <w:rPr>
          <w:rFonts w:ascii="Times New Roman" w:hAnsi="Times New Roman" w:cs="Times New Roman"/>
          <w:sz w:val="24"/>
          <w:szCs w:val="24"/>
        </w:rPr>
        <w:t>que l’</w:t>
      </w:r>
      <w:r w:rsidR="0032113F" w:rsidRPr="00AF41CC">
        <w:rPr>
          <w:rFonts w:ascii="Times New Roman" w:hAnsi="Times New Roman" w:cs="Times New Roman"/>
          <w:sz w:val="24"/>
          <w:szCs w:val="24"/>
        </w:rPr>
        <w:t xml:space="preserve">Etat a désormais pour fonction </w:t>
      </w:r>
      <w:r w:rsidR="00CA418C" w:rsidRPr="00AF41CC">
        <w:rPr>
          <w:rFonts w:ascii="Times New Roman" w:hAnsi="Times New Roman" w:cs="Times New Roman"/>
          <w:sz w:val="24"/>
          <w:szCs w:val="24"/>
        </w:rPr>
        <w:t xml:space="preserve"> de faire pénétrer les contraintes globales dans le champ national en même temps qu’il façonne à son avantage, et à la mesure </w:t>
      </w:r>
      <w:r w:rsidR="00960321" w:rsidRPr="00AF41CC">
        <w:rPr>
          <w:rFonts w:ascii="Times New Roman" w:hAnsi="Times New Roman" w:cs="Times New Roman"/>
          <w:sz w:val="24"/>
          <w:szCs w:val="24"/>
        </w:rPr>
        <w:t xml:space="preserve">de ses moyens, le champ global. </w:t>
      </w:r>
      <w:r w:rsidR="00CA418C" w:rsidRPr="00AF41CC">
        <w:rPr>
          <w:rFonts w:ascii="Times New Roman" w:hAnsi="Times New Roman" w:cs="Times New Roman"/>
          <w:sz w:val="24"/>
          <w:szCs w:val="24"/>
        </w:rPr>
        <w:t> L</w:t>
      </w:r>
      <w:r w:rsidR="007E49C3" w:rsidRPr="00AF41CC">
        <w:rPr>
          <w:rFonts w:ascii="Times New Roman" w:hAnsi="Times New Roman" w:cs="Times New Roman"/>
          <w:sz w:val="24"/>
          <w:szCs w:val="24"/>
        </w:rPr>
        <w:t xml:space="preserve">’Etat se redéfinit </w:t>
      </w:r>
      <w:r w:rsidR="00FE34B5" w:rsidRPr="00AF41CC">
        <w:rPr>
          <w:rFonts w:ascii="Times New Roman" w:hAnsi="Times New Roman" w:cs="Times New Roman"/>
          <w:sz w:val="24"/>
          <w:szCs w:val="24"/>
        </w:rPr>
        <w:t xml:space="preserve">aujourd’hui </w:t>
      </w:r>
      <w:r w:rsidR="007E49C3" w:rsidRPr="00AF41CC">
        <w:rPr>
          <w:rFonts w:ascii="Times New Roman" w:hAnsi="Times New Roman" w:cs="Times New Roman"/>
          <w:sz w:val="24"/>
          <w:szCs w:val="24"/>
        </w:rPr>
        <w:t xml:space="preserve">comme un agent </w:t>
      </w:r>
      <w:r w:rsidR="007E49C3" w:rsidRPr="00AF41CC">
        <w:rPr>
          <w:rFonts w:ascii="Times New Roman" w:hAnsi="Times New Roman" w:cs="Times New Roman"/>
          <w:sz w:val="24"/>
          <w:szCs w:val="24"/>
        </w:rPr>
        <w:lastRenderedPageBreak/>
        <w:t>double</w:t>
      </w:r>
      <w:r w:rsidR="00FE34B5" w:rsidRPr="00AF41CC">
        <w:rPr>
          <w:rFonts w:ascii="Times New Roman" w:hAnsi="Times New Roman" w:cs="Times New Roman"/>
          <w:sz w:val="24"/>
          <w:szCs w:val="24"/>
        </w:rPr>
        <w:t>, un acteur de la globalisation et un acteur de la dénationalisation, autrement dit, la globalisation est désormais au cœur de l’Etat, elle est même la nouvelle raison d’Etat. </w:t>
      </w:r>
      <w:r w:rsidR="00A569B6" w:rsidRPr="00AF41CC">
        <w:rPr>
          <w:rFonts w:ascii="Times New Roman" w:hAnsi="Times New Roman" w:cs="Times New Roman"/>
          <w:sz w:val="24"/>
          <w:szCs w:val="24"/>
        </w:rPr>
        <w:t xml:space="preserve"> C’est cette fonction qui explique</w:t>
      </w:r>
      <w:r w:rsidR="001E18C7" w:rsidRPr="00AF41CC">
        <w:rPr>
          <w:rFonts w:ascii="Times New Roman" w:hAnsi="Times New Roman" w:cs="Times New Roman"/>
          <w:sz w:val="24"/>
          <w:szCs w:val="24"/>
        </w:rPr>
        <w:t xml:space="preserve"> </w:t>
      </w:r>
      <w:r w:rsidR="00A569B6" w:rsidRPr="00AF41CC">
        <w:rPr>
          <w:rFonts w:ascii="Times New Roman" w:hAnsi="Times New Roman" w:cs="Times New Roman"/>
          <w:sz w:val="24"/>
          <w:szCs w:val="24"/>
        </w:rPr>
        <w:t>la re</w:t>
      </w:r>
      <w:r w:rsidR="001E18C7" w:rsidRPr="00AF41CC">
        <w:rPr>
          <w:rFonts w:ascii="Times New Roman" w:hAnsi="Times New Roman" w:cs="Times New Roman"/>
          <w:sz w:val="24"/>
          <w:szCs w:val="24"/>
        </w:rPr>
        <w:t>la</w:t>
      </w:r>
      <w:r w:rsidR="00A569B6" w:rsidRPr="00AF41CC">
        <w:rPr>
          <w:rFonts w:ascii="Times New Roman" w:hAnsi="Times New Roman" w:cs="Times New Roman"/>
          <w:sz w:val="24"/>
          <w:szCs w:val="24"/>
        </w:rPr>
        <w:t xml:space="preserve">tion </w:t>
      </w:r>
      <w:r w:rsidR="00057ABF" w:rsidRPr="00AF41CC">
        <w:rPr>
          <w:rFonts w:ascii="Times New Roman" w:hAnsi="Times New Roman" w:cs="Times New Roman"/>
          <w:sz w:val="24"/>
          <w:szCs w:val="24"/>
        </w:rPr>
        <w:t xml:space="preserve">entre les deux faces de la souveraineté étatique </w:t>
      </w:r>
      <w:r w:rsidR="001E18C7" w:rsidRPr="00AF41CC">
        <w:rPr>
          <w:rFonts w:ascii="Times New Roman" w:hAnsi="Times New Roman" w:cs="Times New Roman"/>
          <w:sz w:val="24"/>
          <w:szCs w:val="24"/>
        </w:rPr>
        <w:t xml:space="preserve">: </w:t>
      </w:r>
      <w:r w:rsidRPr="00AF41CC">
        <w:rPr>
          <w:rFonts w:ascii="Times New Roman" w:hAnsi="Times New Roman" w:cs="Times New Roman"/>
          <w:sz w:val="24"/>
          <w:szCs w:val="24"/>
        </w:rPr>
        <w:t>l’appel à conjurer les menaces</w:t>
      </w:r>
      <w:r w:rsidR="00B4132C" w:rsidRPr="00AF41CC">
        <w:rPr>
          <w:rFonts w:ascii="Times New Roman" w:hAnsi="Times New Roman" w:cs="Times New Roman"/>
          <w:sz w:val="24"/>
          <w:szCs w:val="24"/>
        </w:rPr>
        <w:t>, réelles ou supposées,</w:t>
      </w:r>
      <w:r w:rsidRPr="00AF41CC">
        <w:rPr>
          <w:rFonts w:ascii="Times New Roman" w:hAnsi="Times New Roman" w:cs="Times New Roman"/>
          <w:sz w:val="24"/>
          <w:szCs w:val="24"/>
        </w:rPr>
        <w:t xml:space="preserve"> des autres puissances (</w:t>
      </w:r>
      <w:r w:rsidR="001E18C7" w:rsidRPr="00AF41CC">
        <w:rPr>
          <w:rFonts w:ascii="Times New Roman" w:hAnsi="Times New Roman" w:cs="Times New Roman"/>
          <w:sz w:val="24"/>
          <w:szCs w:val="24"/>
        </w:rPr>
        <w:t>la face externe de la souveraineté</w:t>
      </w:r>
      <w:r w:rsidRPr="00AF41CC">
        <w:rPr>
          <w:rFonts w:ascii="Times New Roman" w:hAnsi="Times New Roman" w:cs="Times New Roman"/>
          <w:sz w:val="24"/>
          <w:szCs w:val="24"/>
        </w:rPr>
        <w:t xml:space="preserve">) </w:t>
      </w:r>
      <w:r w:rsidR="001E18C7" w:rsidRPr="00AF41CC">
        <w:rPr>
          <w:rFonts w:ascii="Times New Roman" w:hAnsi="Times New Roman" w:cs="Times New Roman"/>
          <w:sz w:val="24"/>
          <w:szCs w:val="24"/>
        </w:rPr>
        <w:t>tend à légitimer la domination de plus en plus</w:t>
      </w:r>
      <w:r w:rsidR="00057ABF" w:rsidRPr="00AF41CC">
        <w:rPr>
          <w:rFonts w:ascii="Times New Roman" w:hAnsi="Times New Roman" w:cs="Times New Roman"/>
          <w:sz w:val="24"/>
          <w:szCs w:val="24"/>
        </w:rPr>
        <w:t xml:space="preserve"> autoritaire</w:t>
      </w:r>
      <w:r w:rsidR="001E18C7" w:rsidRPr="00AF41CC">
        <w:rPr>
          <w:rFonts w:ascii="Times New Roman" w:hAnsi="Times New Roman" w:cs="Times New Roman"/>
          <w:sz w:val="24"/>
          <w:szCs w:val="24"/>
        </w:rPr>
        <w:t xml:space="preserve"> de l’Etat sur ses propres citoyens</w:t>
      </w:r>
      <w:r w:rsidR="00057ABF" w:rsidRPr="00AF41CC">
        <w:rPr>
          <w:rFonts w:ascii="Times New Roman" w:hAnsi="Times New Roman" w:cs="Times New Roman"/>
          <w:sz w:val="24"/>
          <w:szCs w:val="24"/>
        </w:rPr>
        <w:t xml:space="preserve"> </w:t>
      </w:r>
      <w:r w:rsidRPr="00AF41CC">
        <w:rPr>
          <w:rFonts w:ascii="Times New Roman" w:hAnsi="Times New Roman" w:cs="Times New Roman"/>
          <w:sz w:val="24"/>
          <w:szCs w:val="24"/>
        </w:rPr>
        <w:t xml:space="preserve">par les moyens de la police et de la répression </w:t>
      </w:r>
      <w:r w:rsidR="00057ABF" w:rsidRPr="00AF41CC">
        <w:rPr>
          <w:rFonts w:ascii="Times New Roman" w:hAnsi="Times New Roman" w:cs="Times New Roman"/>
          <w:sz w:val="24"/>
          <w:szCs w:val="24"/>
        </w:rPr>
        <w:t xml:space="preserve">(la face interne de la souveraineté). </w:t>
      </w:r>
    </w:p>
    <w:p w14:paraId="307D9AA5" w14:textId="06A16350" w:rsidR="001E150C" w:rsidRPr="00AF41CC" w:rsidRDefault="001E150C" w:rsidP="005D3353">
      <w:pPr>
        <w:spacing w:line="360" w:lineRule="auto"/>
        <w:jc w:val="both"/>
        <w:rPr>
          <w:rFonts w:ascii="Times New Roman" w:hAnsi="Times New Roman" w:cs="Times New Roman"/>
          <w:sz w:val="24"/>
          <w:szCs w:val="24"/>
        </w:rPr>
      </w:pPr>
    </w:p>
    <w:p w14:paraId="3C18FC2D" w14:textId="4F6CFD7A" w:rsidR="001E150C" w:rsidRPr="00E35364" w:rsidRDefault="004A44D0" w:rsidP="00E35364">
      <w:pPr>
        <w:spacing w:line="360" w:lineRule="auto"/>
        <w:ind w:left="2832" w:firstLine="708"/>
        <w:jc w:val="both"/>
        <w:rPr>
          <w:rFonts w:ascii="Times New Roman" w:hAnsi="Times New Roman" w:cs="Times New Roman"/>
          <w:b/>
          <w:bCs/>
          <w:sz w:val="28"/>
          <w:szCs w:val="28"/>
        </w:rPr>
      </w:pPr>
      <w:r w:rsidRPr="00AF41CC">
        <w:rPr>
          <w:rFonts w:ascii="Times New Roman" w:hAnsi="Times New Roman" w:cs="Times New Roman"/>
          <w:b/>
          <w:bCs/>
          <w:sz w:val="28"/>
          <w:szCs w:val="28"/>
        </w:rPr>
        <w:t>Pierre Dardot et Christian Laval</w:t>
      </w:r>
    </w:p>
    <w:p w14:paraId="00FE8502" w14:textId="3F414F41" w:rsidR="001E150C" w:rsidRPr="00E5334D" w:rsidRDefault="001E150C" w:rsidP="005D3353">
      <w:pPr>
        <w:spacing w:line="360" w:lineRule="auto"/>
        <w:jc w:val="both"/>
        <w:rPr>
          <w:rFonts w:ascii="Times New Roman" w:hAnsi="Times New Roman" w:cs="Times New Roman"/>
          <w:sz w:val="24"/>
          <w:szCs w:val="24"/>
        </w:rPr>
      </w:pPr>
    </w:p>
    <w:p w14:paraId="478A4CED" w14:textId="77777777" w:rsidR="001E150C" w:rsidRPr="00E5334D" w:rsidRDefault="001E150C" w:rsidP="005D3353">
      <w:pPr>
        <w:spacing w:line="360" w:lineRule="auto"/>
        <w:jc w:val="both"/>
        <w:rPr>
          <w:rFonts w:ascii="Times New Roman" w:hAnsi="Times New Roman" w:cs="Times New Roman"/>
          <w:sz w:val="24"/>
          <w:szCs w:val="24"/>
        </w:rPr>
      </w:pPr>
    </w:p>
    <w:sectPr w:rsidR="001E150C" w:rsidRPr="00E5334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796B" w14:textId="77777777" w:rsidR="0005150D" w:rsidRDefault="0005150D" w:rsidP="0027787B">
      <w:pPr>
        <w:spacing w:after="0" w:line="240" w:lineRule="auto"/>
      </w:pPr>
      <w:r>
        <w:separator/>
      </w:r>
    </w:p>
  </w:endnote>
  <w:endnote w:type="continuationSeparator" w:id="0">
    <w:p w14:paraId="3ABE5730" w14:textId="77777777" w:rsidR="0005150D" w:rsidRDefault="0005150D" w:rsidP="0027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514865"/>
      <w:docPartObj>
        <w:docPartGallery w:val="Page Numbers (Bottom of Page)"/>
        <w:docPartUnique/>
      </w:docPartObj>
    </w:sdtPr>
    <w:sdtContent>
      <w:p w14:paraId="30EE5041" w14:textId="571553E4" w:rsidR="0032113F" w:rsidRDefault="0032113F">
        <w:pPr>
          <w:pStyle w:val="Pieddepage"/>
          <w:jc w:val="right"/>
        </w:pPr>
        <w:r>
          <w:fldChar w:fldCharType="begin"/>
        </w:r>
        <w:r>
          <w:instrText>PAGE   \* MERGEFORMAT</w:instrText>
        </w:r>
        <w:r>
          <w:fldChar w:fldCharType="separate"/>
        </w:r>
        <w:r w:rsidR="00B766AA">
          <w:rPr>
            <w:noProof/>
          </w:rPr>
          <w:t>2</w:t>
        </w:r>
        <w:r>
          <w:fldChar w:fldCharType="end"/>
        </w:r>
      </w:p>
    </w:sdtContent>
  </w:sdt>
  <w:p w14:paraId="03D714F8" w14:textId="77777777" w:rsidR="0032113F" w:rsidRDefault="003211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7AFE" w14:textId="77777777" w:rsidR="0005150D" w:rsidRDefault="0005150D" w:rsidP="0027787B">
      <w:pPr>
        <w:spacing w:after="0" w:line="240" w:lineRule="auto"/>
      </w:pPr>
      <w:r>
        <w:separator/>
      </w:r>
    </w:p>
  </w:footnote>
  <w:footnote w:type="continuationSeparator" w:id="0">
    <w:p w14:paraId="0710D921" w14:textId="77777777" w:rsidR="0005150D" w:rsidRDefault="0005150D" w:rsidP="0027787B">
      <w:pPr>
        <w:spacing w:after="0" w:line="240" w:lineRule="auto"/>
      </w:pPr>
      <w:r>
        <w:continuationSeparator/>
      </w:r>
    </w:p>
  </w:footnote>
  <w:footnote w:id="1">
    <w:p w14:paraId="35A72BE5" w14:textId="42D157E0" w:rsidR="0032113F" w:rsidRPr="000C5C30" w:rsidRDefault="0032113F" w:rsidP="00846578">
      <w:pPr>
        <w:pStyle w:val="Notedebasdepage"/>
        <w:jc w:val="both"/>
        <w:rPr>
          <w:rFonts w:ascii="Times New Roman" w:hAnsi="Times New Roman" w:cs="Times New Roman"/>
        </w:rPr>
      </w:pPr>
      <w:r w:rsidRPr="000C5C30">
        <w:rPr>
          <w:rStyle w:val="Appelnotedebasdep"/>
          <w:rFonts w:ascii="Times New Roman" w:hAnsi="Times New Roman" w:cs="Times New Roman"/>
        </w:rPr>
        <w:footnoteRef/>
      </w:r>
      <w:r w:rsidRPr="000C5C30">
        <w:rPr>
          <w:rFonts w:ascii="Times New Roman" w:hAnsi="Times New Roman" w:cs="Times New Roman"/>
        </w:rPr>
        <w:t xml:space="preserve"> Wendy Brown, </w:t>
      </w:r>
      <w:r w:rsidRPr="000C5C30">
        <w:rPr>
          <w:rFonts w:ascii="Times New Roman" w:hAnsi="Times New Roman" w:cs="Times New Roman"/>
          <w:i/>
          <w:iCs/>
        </w:rPr>
        <w:t>Murs Les murs de séparation et le déclin de la souveraineté étatique</w:t>
      </w:r>
      <w:r w:rsidRPr="000C5C30">
        <w:rPr>
          <w:rFonts w:ascii="Times New Roman" w:hAnsi="Times New Roman" w:cs="Times New Roman"/>
        </w:rPr>
        <w:t xml:space="preserve">, Les Prairies ordinaires, 2009, p. 85-86. </w:t>
      </w:r>
    </w:p>
  </w:footnote>
  <w:footnote w:id="2">
    <w:p w14:paraId="34FD336E" w14:textId="79ED5E16" w:rsidR="0032113F" w:rsidRPr="000C5C30" w:rsidRDefault="0032113F">
      <w:pPr>
        <w:pStyle w:val="Notedebasdepage"/>
        <w:rPr>
          <w:rFonts w:ascii="Times New Roman" w:hAnsi="Times New Roman" w:cs="Times New Roman"/>
        </w:rPr>
      </w:pPr>
      <w:r w:rsidRPr="000C5C30">
        <w:rPr>
          <w:rStyle w:val="Appelnotedebasdep"/>
          <w:rFonts w:ascii="Times New Roman" w:hAnsi="Times New Roman" w:cs="Times New Roman"/>
        </w:rPr>
        <w:footnoteRef/>
      </w:r>
      <w:r w:rsidRPr="000C5C30">
        <w:rPr>
          <w:rFonts w:ascii="Times New Roman" w:hAnsi="Times New Roman" w:cs="Times New Roman"/>
        </w:rPr>
        <w:t xml:space="preserve"> Michael Hardt Antonio Negri, </w:t>
      </w:r>
      <w:r w:rsidRPr="000C5C30">
        <w:rPr>
          <w:rFonts w:ascii="Times New Roman" w:hAnsi="Times New Roman" w:cs="Times New Roman"/>
          <w:i/>
          <w:iCs/>
        </w:rPr>
        <w:t>Empire</w:t>
      </w:r>
      <w:r w:rsidRPr="000C5C30">
        <w:rPr>
          <w:rFonts w:ascii="Times New Roman" w:hAnsi="Times New Roman" w:cs="Times New Roman"/>
        </w:rPr>
        <w:t>, 10-18, 2004, p. 119-120.</w:t>
      </w:r>
    </w:p>
  </w:footnote>
  <w:footnote w:id="3">
    <w:p w14:paraId="3921075D" w14:textId="6C197E09" w:rsidR="0032113F" w:rsidRPr="000C5C30" w:rsidRDefault="0032113F">
      <w:pPr>
        <w:pStyle w:val="Notedebasdepage"/>
        <w:rPr>
          <w:rFonts w:ascii="Times New Roman" w:hAnsi="Times New Roman" w:cs="Times New Roman"/>
        </w:rPr>
      </w:pPr>
      <w:r w:rsidRPr="000C5C30">
        <w:rPr>
          <w:rStyle w:val="Appelnotedebasdep"/>
          <w:rFonts w:ascii="Times New Roman" w:hAnsi="Times New Roman" w:cs="Times New Roman"/>
        </w:rPr>
        <w:footnoteRef/>
      </w:r>
      <w:r w:rsidRPr="000C5C30">
        <w:rPr>
          <w:rFonts w:ascii="Times New Roman" w:hAnsi="Times New Roman" w:cs="Times New Roman"/>
        </w:rPr>
        <w:t xml:space="preserve"> W. Brown, </w:t>
      </w:r>
      <w:r w:rsidRPr="000C5C30">
        <w:rPr>
          <w:rFonts w:ascii="Times New Roman" w:hAnsi="Times New Roman" w:cs="Times New Roman"/>
          <w:i/>
          <w:iCs/>
        </w:rPr>
        <w:t xml:space="preserve">Murs, </w:t>
      </w:r>
      <w:r w:rsidRPr="000C5C30">
        <w:rPr>
          <w:rFonts w:ascii="Times New Roman" w:hAnsi="Times New Roman" w:cs="Times New Roman"/>
        </w:rPr>
        <w:t xml:space="preserve">p.87, note 48.  </w:t>
      </w:r>
    </w:p>
  </w:footnote>
  <w:footnote w:id="4">
    <w:p w14:paraId="4AAFDBEA" w14:textId="54F9E45F" w:rsidR="0032113F" w:rsidRPr="000C5C30" w:rsidRDefault="0032113F">
      <w:pPr>
        <w:pStyle w:val="Notedebasdepage"/>
        <w:rPr>
          <w:rFonts w:ascii="Times New Roman" w:hAnsi="Times New Roman" w:cs="Times New Roman"/>
        </w:rPr>
      </w:pPr>
      <w:r w:rsidRPr="000C5C30">
        <w:rPr>
          <w:rStyle w:val="Appelnotedebasdep"/>
          <w:rFonts w:ascii="Times New Roman" w:hAnsi="Times New Roman" w:cs="Times New Roman"/>
        </w:rPr>
        <w:footnoteRef/>
      </w:r>
      <w:r w:rsidRPr="000C5C30">
        <w:rPr>
          <w:rFonts w:ascii="Times New Roman" w:hAnsi="Times New Roman" w:cs="Times New Roman"/>
        </w:rPr>
        <w:t xml:space="preserve"> M. Hardt A. Negri, </w:t>
      </w:r>
      <w:r w:rsidRPr="000C5C30">
        <w:rPr>
          <w:rFonts w:ascii="Times New Roman" w:hAnsi="Times New Roman" w:cs="Times New Roman"/>
          <w:i/>
          <w:iCs/>
        </w:rPr>
        <w:t>Empire</w:t>
      </w:r>
      <w:r w:rsidRPr="000C5C30">
        <w:rPr>
          <w:rFonts w:ascii="Times New Roman" w:hAnsi="Times New Roman" w:cs="Times New Roman"/>
        </w:rPr>
        <w:t xml:space="preserve">, </w:t>
      </w:r>
      <w:r w:rsidRPr="000C5C30">
        <w:rPr>
          <w:rFonts w:ascii="Times New Roman" w:hAnsi="Times New Roman" w:cs="Times New Roman"/>
          <w:i/>
          <w:iCs/>
        </w:rPr>
        <w:t>op. cit.</w:t>
      </w:r>
      <w:r w:rsidRPr="000C5C30">
        <w:rPr>
          <w:rFonts w:ascii="Times New Roman" w:hAnsi="Times New Roman" w:cs="Times New Roman"/>
        </w:rPr>
        <w:t xml:space="preserve">, p. 377-382. </w:t>
      </w:r>
    </w:p>
  </w:footnote>
  <w:footnote w:id="5">
    <w:p w14:paraId="4EEFAA55" w14:textId="55421D29" w:rsidR="0032113F" w:rsidRPr="000C5C30" w:rsidRDefault="0032113F" w:rsidP="00D07427">
      <w:pPr>
        <w:pStyle w:val="Notedebasdepage"/>
        <w:jc w:val="both"/>
        <w:rPr>
          <w:rFonts w:ascii="Times New Roman" w:hAnsi="Times New Roman" w:cs="Times New Roman"/>
        </w:rPr>
      </w:pPr>
      <w:r w:rsidRPr="000C5C30">
        <w:rPr>
          <w:rStyle w:val="Appelnotedebasdep"/>
          <w:rFonts w:ascii="Times New Roman" w:hAnsi="Times New Roman" w:cs="Times New Roman"/>
        </w:rPr>
        <w:footnoteRef/>
      </w:r>
      <w:r w:rsidRPr="000C5C30">
        <w:rPr>
          <w:rFonts w:ascii="Times New Roman" w:hAnsi="Times New Roman" w:cs="Times New Roman"/>
        </w:rPr>
        <w:t xml:space="preserve"> On a récemment souligné à quel point cette lecture relevait d’une idéalisation destinée à légitimer l’oligarchie des Scipion (cf. Claudia Moatti, </w:t>
      </w:r>
      <w:r w:rsidRPr="000C5C30">
        <w:rPr>
          <w:rFonts w:ascii="Times New Roman" w:hAnsi="Times New Roman" w:cs="Times New Roman"/>
          <w:i/>
          <w:iCs/>
        </w:rPr>
        <w:t>Res publica. Histoire romaine de la chose publique</w:t>
      </w:r>
      <w:r w:rsidRPr="000C5C30">
        <w:rPr>
          <w:rFonts w:ascii="Times New Roman" w:hAnsi="Times New Roman" w:cs="Times New Roman"/>
        </w:rPr>
        <w:t xml:space="preserve">, Fayard, 2018, p. 57-63). </w:t>
      </w:r>
    </w:p>
  </w:footnote>
  <w:footnote w:id="6">
    <w:p w14:paraId="7D74F078" w14:textId="5BED16BC" w:rsidR="0032113F" w:rsidRPr="000C5C30" w:rsidRDefault="0032113F">
      <w:pPr>
        <w:pStyle w:val="Notedebasdepage"/>
        <w:rPr>
          <w:rFonts w:ascii="Times New Roman" w:hAnsi="Times New Roman" w:cs="Times New Roman"/>
        </w:rPr>
      </w:pPr>
      <w:r w:rsidRPr="000C5C30">
        <w:rPr>
          <w:rStyle w:val="Appelnotedebasdep"/>
          <w:rFonts w:ascii="Times New Roman" w:hAnsi="Times New Roman" w:cs="Times New Roman"/>
        </w:rPr>
        <w:footnoteRef/>
      </w:r>
      <w:r w:rsidRPr="000C5C30">
        <w:rPr>
          <w:rFonts w:ascii="Times New Roman" w:hAnsi="Times New Roman" w:cs="Times New Roman"/>
        </w:rPr>
        <w:t xml:space="preserve"> M. Hardt A. Negri, </w:t>
      </w:r>
      <w:r w:rsidRPr="000C5C30">
        <w:rPr>
          <w:rFonts w:ascii="Times New Roman" w:hAnsi="Times New Roman" w:cs="Times New Roman"/>
          <w:i/>
          <w:iCs/>
        </w:rPr>
        <w:t>Empire</w:t>
      </w:r>
      <w:r w:rsidRPr="000C5C30">
        <w:rPr>
          <w:rFonts w:ascii="Times New Roman" w:hAnsi="Times New Roman" w:cs="Times New Roman"/>
        </w:rPr>
        <w:t xml:space="preserve">, </w:t>
      </w:r>
      <w:r w:rsidRPr="000C5C30">
        <w:rPr>
          <w:rFonts w:ascii="Times New Roman" w:hAnsi="Times New Roman" w:cs="Times New Roman"/>
          <w:i/>
          <w:iCs/>
        </w:rPr>
        <w:t>op. cit</w:t>
      </w:r>
      <w:r w:rsidRPr="000C5C30">
        <w:rPr>
          <w:rFonts w:ascii="Times New Roman" w:hAnsi="Times New Roman" w:cs="Times New Roman"/>
        </w:rPr>
        <w:t xml:space="preserve">., p. 239. </w:t>
      </w:r>
    </w:p>
  </w:footnote>
  <w:footnote w:id="7">
    <w:p w14:paraId="2917D90C" w14:textId="15664A48" w:rsidR="0032113F" w:rsidRPr="000C5C30" w:rsidRDefault="0032113F">
      <w:pPr>
        <w:pStyle w:val="Notedebasdepage"/>
        <w:rPr>
          <w:rFonts w:ascii="Times New Roman" w:hAnsi="Times New Roman" w:cs="Times New Roman"/>
        </w:rPr>
      </w:pPr>
      <w:r w:rsidRPr="000C5C30">
        <w:rPr>
          <w:rStyle w:val="Appelnotedebasdep"/>
          <w:rFonts w:ascii="Times New Roman" w:hAnsi="Times New Roman" w:cs="Times New Roman"/>
        </w:rPr>
        <w:footnoteRef/>
      </w:r>
      <w:r w:rsidRPr="000C5C30">
        <w:rPr>
          <w:rFonts w:ascii="Times New Roman" w:hAnsi="Times New Roman" w:cs="Times New Roman"/>
        </w:rPr>
        <w:t xml:space="preserve"> </w:t>
      </w:r>
      <w:r w:rsidRPr="000C5C30">
        <w:rPr>
          <w:rFonts w:ascii="Times New Roman" w:hAnsi="Times New Roman" w:cs="Times New Roman"/>
          <w:i/>
          <w:iCs/>
        </w:rPr>
        <w:t>Ibid.</w:t>
      </w:r>
      <w:r w:rsidRPr="000C5C30">
        <w:rPr>
          <w:rFonts w:ascii="Times New Roman" w:hAnsi="Times New Roman" w:cs="Times New Roman"/>
        </w:rPr>
        <w:t xml:space="preserve">, p. 63. </w:t>
      </w:r>
    </w:p>
  </w:footnote>
  <w:footnote w:id="8">
    <w:p w14:paraId="2398FE90" w14:textId="09C93033" w:rsidR="0032113F" w:rsidRPr="000A3A83" w:rsidRDefault="0032113F" w:rsidP="000A3A83">
      <w:pPr>
        <w:pStyle w:val="Notedebasdepage"/>
        <w:jc w:val="both"/>
        <w:rPr>
          <w:rFonts w:ascii="Times New Roman" w:hAnsi="Times New Roman" w:cs="Times New Roman"/>
        </w:rPr>
      </w:pPr>
      <w:r w:rsidRPr="000A3A83">
        <w:rPr>
          <w:rStyle w:val="Appelnotedebasdep"/>
          <w:rFonts w:ascii="Times New Roman" w:hAnsi="Times New Roman" w:cs="Times New Roman"/>
        </w:rPr>
        <w:footnoteRef/>
      </w:r>
      <w:r w:rsidRPr="000A3A83">
        <w:rPr>
          <w:rFonts w:ascii="Times New Roman" w:hAnsi="Times New Roman" w:cs="Times New Roman"/>
        </w:rPr>
        <w:t xml:space="preserve"> An</w:t>
      </w:r>
      <w:r>
        <w:rPr>
          <w:rFonts w:ascii="Times New Roman" w:hAnsi="Times New Roman" w:cs="Times New Roman"/>
        </w:rPr>
        <w:t>n</w:t>
      </w:r>
      <w:r w:rsidRPr="000A3A83">
        <w:rPr>
          <w:rFonts w:ascii="Times New Roman" w:hAnsi="Times New Roman" w:cs="Times New Roman"/>
        </w:rPr>
        <w:t xml:space="preserve">a </w:t>
      </w:r>
      <w:r>
        <w:rPr>
          <w:rFonts w:ascii="Times New Roman" w:hAnsi="Times New Roman" w:cs="Times New Roman"/>
        </w:rPr>
        <w:t>Lowenhaupt T</w:t>
      </w:r>
      <w:r w:rsidRPr="000A3A83">
        <w:rPr>
          <w:rFonts w:ascii="Times New Roman" w:hAnsi="Times New Roman" w:cs="Times New Roman"/>
        </w:rPr>
        <w:t xml:space="preserve">sing relève </w:t>
      </w:r>
      <w:r>
        <w:rPr>
          <w:rFonts w:ascii="Times New Roman" w:hAnsi="Times New Roman" w:cs="Times New Roman"/>
        </w:rPr>
        <w:t xml:space="preserve">à juste titre </w:t>
      </w:r>
      <w:r w:rsidRPr="000A3A83">
        <w:rPr>
          <w:rFonts w:ascii="Times New Roman" w:hAnsi="Times New Roman" w:cs="Times New Roman"/>
        </w:rPr>
        <w:t xml:space="preserve">cette tendance à ramener les ONG transnationales à des avant-gardes </w:t>
      </w:r>
      <w:r>
        <w:rPr>
          <w:rFonts w:ascii="Times New Roman" w:hAnsi="Times New Roman" w:cs="Times New Roman"/>
        </w:rPr>
        <w:t>« </w:t>
      </w:r>
      <w:r w:rsidRPr="000A3A83">
        <w:rPr>
          <w:rFonts w:ascii="Times New Roman" w:hAnsi="Times New Roman" w:cs="Times New Roman"/>
        </w:rPr>
        <w:t>totalement immergées dans le contexte biopolitique de la constitution de l’Empire »</w:t>
      </w:r>
      <w:r>
        <w:rPr>
          <w:rFonts w:ascii="Times New Roman" w:hAnsi="Times New Roman" w:cs="Times New Roman"/>
        </w:rPr>
        <w:t>, pour citer les mots mêmes de Hardt et Negri (</w:t>
      </w:r>
      <w:r w:rsidRPr="000A3A83">
        <w:rPr>
          <w:rFonts w:ascii="Times New Roman" w:hAnsi="Times New Roman" w:cs="Times New Roman"/>
        </w:rPr>
        <w:t>Cf.</w:t>
      </w:r>
      <w:r>
        <w:rPr>
          <w:rFonts w:ascii="Times New Roman" w:hAnsi="Times New Roman" w:cs="Times New Roman"/>
          <w:i/>
          <w:iCs/>
        </w:rPr>
        <w:t xml:space="preserve"> </w:t>
      </w:r>
      <w:r w:rsidRPr="000A3A83">
        <w:rPr>
          <w:rFonts w:ascii="Times New Roman" w:hAnsi="Times New Roman" w:cs="Times New Roman"/>
          <w:i/>
          <w:iCs/>
        </w:rPr>
        <w:t>Friction Délires et Faux-semblants de la globalité</w:t>
      </w:r>
      <w:r w:rsidRPr="000A3A83">
        <w:rPr>
          <w:rFonts w:ascii="Times New Roman" w:hAnsi="Times New Roman" w:cs="Times New Roman"/>
        </w:rPr>
        <w:t xml:space="preserve">, La </w:t>
      </w:r>
      <w:r>
        <w:rPr>
          <w:rFonts w:ascii="Times New Roman" w:hAnsi="Times New Roman" w:cs="Times New Roman"/>
        </w:rPr>
        <w:t>Dé</w:t>
      </w:r>
      <w:r w:rsidRPr="000A3A83">
        <w:rPr>
          <w:rFonts w:ascii="Times New Roman" w:hAnsi="Times New Roman" w:cs="Times New Roman"/>
        </w:rPr>
        <w:t>couverte, 2020, p. 341, note3</w:t>
      </w:r>
      <w:r>
        <w:rPr>
          <w:rFonts w:ascii="Times New Roman" w:hAnsi="Times New Roman" w:cs="Times New Roman"/>
        </w:rPr>
        <w:t>)</w:t>
      </w:r>
      <w:r w:rsidRPr="000A3A83">
        <w:rPr>
          <w:rFonts w:ascii="Times New Roman" w:hAnsi="Times New Roman" w:cs="Times New Roman"/>
        </w:rPr>
        <w:t xml:space="preserve">. </w:t>
      </w:r>
    </w:p>
  </w:footnote>
  <w:footnote w:id="9">
    <w:p w14:paraId="60E6FD63" w14:textId="6E10F74C" w:rsidR="0032113F" w:rsidRPr="000C5C30" w:rsidRDefault="0032113F">
      <w:pPr>
        <w:pStyle w:val="Notedebasdepage"/>
        <w:rPr>
          <w:rFonts w:ascii="Times New Roman" w:hAnsi="Times New Roman" w:cs="Times New Roman"/>
        </w:rPr>
      </w:pPr>
      <w:r w:rsidRPr="000C5C30">
        <w:rPr>
          <w:rStyle w:val="Appelnotedebasdep"/>
          <w:rFonts w:ascii="Times New Roman" w:hAnsi="Times New Roman" w:cs="Times New Roman"/>
        </w:rPr>
        <w:footnoteRef/>
      </w:r>
      <w:r w:rsidRPr="000C5C30">
        <w:rPr>
          <w:rFonts w:ascii="Times New Roman" w:hAnsi="Times New Roman" w:cs="Times New Roman"/>
        </w:rPr>
        <w:t xml:space="preserve"> </w:t>
      </w:r>
      <w:r w:rsidRPr="000C5C30">
        <w:rPr>
          <w:rFonts w:ascii="Times New Roman" w:hAnsi="Times New Roman" w:cs="Times New Roman"/>
          <w:i/>
          <w:iCs/>
        </w:rPr>
        <w:t>Ibid.</w:t>
      </w:r>
      <w:r w:rsidRPr="000C5C30">
        <w:rPr>
          <w:rFonts w:ascii="Times New Roman" w:hAnsi="Times New Roman" w:cs="Times New Roman"/>
        </w:rPr>
        <w:t>, p. 403-404</w:t>
      </w:r>
      <w:r>
        <w:rPr>
          <w:rFonts w:ascii="Times New Roman" w:hAnsi="Times New Roman" w:cs="Times New Roman"/>
        </w:rPr>
        <w:t xml:space="preserve"> et p. 408</w:t>
      </w:r>
      <w:r w:rsidRPr="000C5C30">
        <w:rPr>
          <w:rFonts w:ascii="Times New Roman" w:hAnsi="Times New Roman" w:cs="Times New Roman"/>
        </w:rPr>
        <w:t xml:space="preserve">. </w:t>
      </w:r>
    </w:p>
  </w:footnote>
  <w:footnote w:id="10">
    <w:p w14:paraId="3B478364" w14:textId="058A0A53" w:rsidR="0032113F" w:rsidRPr="000C5C30" w:rsidRDefault="0032113F" w:rsidP="00095129">
      <w:pPr>
        <w:pStyle w:val="Notedebasdepage"/>
        <w:jc w:val="both"/>
        <w:rPr>
          <w:rFonts w:ascii="Times New Roman" w:hAnsi="Times New Roman" w:cs="Times New Roman"/>
        </w:rPr>
      </w:pPr>
      <w:r w:rsidRPr="000C5C30">
        <w:rPr>
          <w:rStyle w:val="Appelnotedebasdep"/>
          <w:rFonts w:ascii="Times New Roman" w:hAnsi="Times New Roman" w:cs="Times New Roman"/>
        </w:rPr>
        <w:footnoteRef/>
      </w:r>
      <w:r>
        <w:rPr>
          <w:rFonts w:ascii="Times New Roman" w:hAnsi="Times New Roman" w:cs="Times New Roman"/>
        </w:rPr>
        <w:t xml:space="preserve"> Cf. sur ce point,</w:t>
      </w:r>
      <w:r w:rsidRPr="000C5C30">
        <w:rPr>
          <w:rFonts w:ascii="Times New Roman" w:hAnsi="Times New Roman" w:cs="Times New Roman"/>
        </w:rPr>
        <w:t xml:space="preserve"> Philippe Descola, </w:t>
      </w:r>
      <w:r w:rsidRPr="000C5C30">
        <w:rPr>
          <w:rFonts w:ascii="Times New Roman" w:hAnsi="Times New Roman" w:cs="Times New Roman"/>
          <w:i/>
          <w:iCs/>
        </w:rPr>
        <w:t>La composition des mondes</w:t>
      </w:r>
      <w:r w:rsidRPr="000C5C30">
        <w:rPr>
          <w:rFonts w:ascii="Times New Roman" w:hAnsi="Times New Roman" w:cs="Times New Roman"/>
        </w:rPr>
        <w:t xml:space="preserve">, </w:t>
      </w:r>
      <w:r>
        <w:rPr>
          <w:rFonts w:ascii="Times New Roman" w:hAnsi="Times New Roman" w:cs="Times New Roman"/>
        </w:rPr>
        <w:t xml:space="preserve">Entretiens avec Pierre Charbonnier, </w:t>
      </w:r>
      <w:r w:rsidRPr="000C5C30">
        <w:rPr>
          <w:rFonts w:ascii="Times New Roman" w:hAnsi="Times New Roman" w:cs="Times New Roman"/>
        </w:rPr>
        <w:t xml:space="preserve">Flammarion, </w:t>
      </w:r>
      <w:r>
        <w:rPr>
          <w:rFonts w:ascii="Times New Roman" w:hAnsi="Times New Roman" w:cs="Times New Roman"/>
        </w:rPr>
        <w:t xml:space="preserve">2014, </w:t>
      </w:r>
      <w:r w:rsidRPr="000C5C30">
        <w:rPr>
          <w:rFonts w:ascii="Times New Roman" w:hAnsi="Times New Roman" w:cs="Times New Roman"/>
        </w:rPr>
        <w:t>p. 306,</w:t>
      </w:r>
      <w:r>
        <w:rPr>
          <w:rFonts w:ascii="Times New Roman" w:hAnsi="Times New Roman" w:cs="Times New Roman"/>
        </w:rPr>
        <w:t xml:space="preserve"> et</w:t>
      </w:r>
      <w:r w:rsidRPr="000C5C30">
        <w:rPr>
          <w:rFonts w:ascii="Times New Roman" w:hAnsi="Times New Roman" w:cs="Times New Roman"/>
        </w:rPr>
        <w:t xml:space="preserve"> An</w:t>
      </w:r>
      <w:r>
        <w:rPr>
          <w:rFonts w:ascii="Times New Roman" w:hAnsi="Times New Roman" w:cs="Times New Roman"/>
        </w:rPr>
        <w:t>na Lowenhaupt</w:t>
      </w:r>
      <w:r w:rsidRPr="000C5C30">
        <w:rPr>
          <w:rFonts w:ascii="Times New Roman" w:hAnsi="Times New Roman" w:cs="Times New Roman"/>
        </w:rPr>
        <w:t xml:space="preserve"> Tsi</w:t>
      </w:r>
      <w:r>
        <w:rPr>
          <w:rFonts w:ascii="Times New Roman" w:hAnsi="Times New Roman" w:cs="Times New Roman"/>
        </w:rPr>
        <w:t>n,</w:t>
      </w:r>
      <w:r w:rsidRPr="000C5C30">
        <w:rPr>
          <w:rFonts w:ascii="Times New Roman" w:hAnsi="Times New Roman" w:cs="Times New Roman"/>
        </w:rPr>
        <w:t xml:space="preserve"> </w:t>
      </w:r>
      <w:r w:rsidRPr="004C7877">
        <w:rPr>
          <w:rFonts w:ascii="Times New Roman" w:hAnsi="Times New Roman" w:cs="Times New Roman"/>
          <w:i/>
          <w:iCs/>
        </w:rPr>
        <w:t>Friction</w:t>
      </w:r>
      <w:r>
        <w:rPr>
          <w:rFonts w:ascii="Times New Roman" w:hAnsi="Times New Roman" w:cs="Times New Roman"/>
        </w:rPr>
        <w:t xml:space="preserve">, </w:t>
      </w:r>
      <w:r w:rsidRPr="004C7877">
        <w:rPr>
          <w:rFonts w:ascii="Times New Roman" w:hAnsi="Times New Roman" w:cs="Times New Roman"/>
          <w:i/>
          <w:iCs/>
        </w:rPr>
        <w:t>op. cit</w:t>
      </w:r>
      <w:r>
        <w:rPr>
          <w:rFonts w:ascii="Times New Roman" w:hAnsi="Times New Roman" w:cs="Times New Roman"/>
        </w:rPr>
        <w:t>., p. 144-146, qui insiste sur « l’hétérogénéité du capitalisme » et appelle à « libérer les imaginations critiques du spectre de la conquête néolibérale - monolithique, universelle, globale ».</w:t>
      </w:r>
    </w:p>
  </w:footnote>
  <w:footnote w:id="11">
    <w:p w14:paraId="5B2C01D5" w14:textId="7FA08598" w:rsidR="0032113F" w:rsidRPr="000C5C30" w:rsidRDefault="0032113F">
      <w:pPr>
        <w:pStyle w:val="Notedebasdepage"/>
        <w:rPr>
          <w:rFonts w:ascii="Times New Roman" w:hAnsi="Times New Roman" w:cs="Times New Roman"/>
        </w:rPr>
      </w:pPr>
      <w:r w:rsidRPr="000C5C30">
        <w:rPr>
          <w:rStyle w:val="Appelnotedebasdep"/>
          <w:rFonts w:ascii="Times New Roman" w:hAnsi="Times New Roman" w:cs="Times New Roman"/>
        </w:rPr>
        <w:footnoteRef/>
      </w:r>
      <w:r w:rsidRPr="000C5C30">
        <w:rPr>
          <w:rFonts w:ascii="Times New Roman" w:hAnsi="Times New Roman" w:cs="Times New Roman"/>
        </w:rPr>
        <w:t xml:space="preserve"> M. Hardt </w:t>
      </w:r>
      <w:r>
        <w:rPr>
          <w:rFonts w:ascii="Times New Roman" w:hAnsi="Times New Roman" w:cs="Times New Roman"/>
        </w:rPr>
        <w:t xml:space="preserve">et </w:t>
      </w:r>
      <w:r w:rsidRPr="000C5C30">
        <w:rPr>
          <w:rFonts w:ascii="Times New Roman" w:hAnsi="Times New Roman" w:cs="Times New Roman"/>
        </w:rPr>
        <w:t xml:space="preserve">A. Negri, </w:t>
      </w:r>
      <w:r w:rsidRPr="000C5C30">
        <w:rPr>
          <w:rFonts w:ascii="Times New Roman" w:hAnsi="Times New Roman" w:cs="Times New Roman"/>
          <w:i/>
          <w:iCs/>
        </w:rPr>
        <w:t>Empire</w:t>
      </w:r>
      <w:r w:rsidRPr="000C5C30">
        <w:rPr>
          <w:rFonts w:ascii="Times New Roman" w:hAnsi="Times New Roman" w:cs="Times New Roman"/>
        </w:rPr>
        <w:t xml:space="preserve">, </w:t>
      </w:r>
      <w:r w:rsidRPr="000C5C30">
        <w:rPr>
          <w:rFonts w:ascii="Times New Roman" w:hAnsi="Times New Roman" w:cs="Times New Roman"/>
          <w:i/>
          <w:iCs/>
        </w:rPr>
        <w:t>op. cit.</w:t>
      </w:r>
      <w:r w:rsidRPr="000C5C30">
        <w:rPr>
          <w:rFonts w:ascii="Times New Roman" w:hAnsi="Times New Roman" w:cs="Times New Roman"/>
        </w:rPr>
        <w:t xml:space="preserve">, p. 66-67. </w:t>
      </w:r>
    </w:p>
  </w:footnote>
  <w:footnote w:id="12">
    <w:p w14:paraId="744EE0CC" w14:textId="1FE94D76" w:rsidR="0032113F" w:rsidRPr="000C5C30" w:rsidRDefault="0032113F" w:rsidP="00945ACD">
      <w:pPr>
        <w:pStyle w:val="Notedebasdepage"/>
        <w:jc w:val="both"/>
        <w:rPr>
          <w:rFonts w:ascii="Times New Roman" w:hAnsi="Times New Roman" w:cs="Times New Roman"/>
        </w:rPr>
      </w:pPr>
      <w:r w:rsidRPr="000C5C30">
        <w:rPr>
          <w:rStyle w:val="Appelnotedebasdep"/>
          <w:rFonts w:ascii="Times New Roman" w:hAnsi="Times New Roman" w:cs="Times New Roman"/>
        </w:rPr>
        <w:footnoteRef/>
      </w:r>
      <w:r w:rsidRPr="000C5C30">
        <w:rPr>
          <w:rFonts w:ascii="Times New Roman" w:hAnsi="Times New Roman" w:cs="Times New Roman"/>
        </w:rPr>
        <w:t xml:space="preserve"> W. Brown, </w:t>
      </w:r>
      <w:r w:rsidRPr="000C5C30">
        <w:rPr>
          <w:rFonts w:ascii="Times New Roman" w:hAnsi="Times New Roman" w:cs="Times New Roman"/>
          <w:i/>
          <w:iCs/>
        </w:rPr>
        <w:t>Murs</w:t>
      </w:r>
      <w:r w:rsidRPr="000C5C30">
        <w:rPr>
          <w:rFonts w:ascii="Times New Roman" w:hAnsi="Times New Roman" w:cs="Times New Roman"/>
        </w:rPr>
        <w:t xml:space="preserve">, </w:t>
      </w:r>
      <w:r w:rsidRPr="000C5C30">
        <w:rPr>
          <w:rFonts w:ascii="Times New Roman" w:hAnsi="Times New Roman" w:cs="Times New Roman"/>
          <w:i/>
          <w:iCs/>
        </w:rPr>
        <w:t>op. cit</w:t>
      </w:r>
      <w:r w:rsidRPr="000C5C30">
        <w:rPr>
          <w:rFonts w:ascii="Times New Roman" w:hAnsi="Times New Roman" w:cs="Times New Roman"/>
        </w:rPr>
        <w:t xml:space="preserve">., p. 86. </w:t>
      </w:r>
    </w:p>
  </w:footnote>
  <w:footnote w:id="13">
    <w:p w14:paraId="63FDB4A9" w14:textId="77777777" w:rsidR="0032113F" w:rsidRDefault="0032113F" w:rsidP="0023268D">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 xml:space="preserve"> Sur ce dossier, cf. Ludovic Lamand, « UE : les ambiguïtés du "moment hamiltonien" », publié sur </w:t>
      </w:r>
      <w:r>
        <w:rPr>
          <w:rFonts w:ascii="Times New Roman" w:hAnsi="Times New Roman" w:cs="Times New Roman"/>
          <w:i/>
          <w:iCs/>
        </w:rPr>
        <w:t>Mediapart</w:t>
      </w:r>
      <w:r>
        <w:rPr>
          <w:rFonts w:ascii="Times New Roman" w:hAnsi="Times New Roman" w:cs="Times New Roman"/>
        </w:rPr>
        <w:t xml:space="preserve"> le 03/06/2020. </w:t>
      </w:r>
    </w:p>
  </w:footnote>
  <w:footnote w:id="14">
    <w:p w14:paraId="3E700FAC" w14:textId="0290B4C7" w:rsidR="0032113F" w:rsidRPr="000C5C30" w:rsidRDefault="0032113F" w:rsidP="00746747">
      <w:pPr>
        <w:spacing w:line="240" w:lineRule="auto"/>
        <w:jc w:val="both"/>
        <w:rPr>
          <w:rFonts w:ascii="Times New Roman" w:hAnsi="Times New Roman" w:cs="Times New Roman"/>
          <w:sz w:val="24"/>
          <w:szCs w:val="24"/>
        </w:rPr>
      </w:pPr>
      <w:r w:rsidRPr="000C5C30">
        <w:rPr>
          <w:rStyle w:val="Appelnotedebasdep"/>
          <w:rFonts w:ascii="Times New Roman" w:hAnsi="Times New Roman" w:cs="Times New Roman"/>
          <w:sz w:val="20"/>
          <w:szCs w:val="20"/>
        </w:rPr>
        <w:footnoteRef/>
      </w:r>
      <w:r w:rsidRPr="000C5C30">
        <w:rPr>
          <w:rFonts w:ascii="Times New Roman" w:hAnsi="Times New Roman" w:cs="Times New Roman"/>
          <w:sz w:val="20"/>
          <w:szCs w:val="20"/>
        </w:rPr>
        <w:t xml:space="preserve"> Précisons qu’il s’agit de lignite en surface et que son exploitation nécessite des mines à ciel ouvert dont le creusement menace l’existence de villages entiers, à l’exemple de la mine de Garzweiler en Rhénanie Westphalie dont l’extension doit entraîner la démolition le village de Lützerath.</w:t>
      </w:r>
      <w:r w:rsidRPr="000C5C30">
        <w:rPr>
          <w:rFonts w:ascii="Times New Roman" w:hAnsi="Times New Roman" w:cs="Times New Roman"/>
          <w:sz w:val="24"/>
          <w:szCs w:val="24"/>
        </w:rPr>
        <w:t xml:space="preserve"> </w:t>
      </w:r>
    </w:p>
    <w:p w14:paraId="71D3E574" w14:textId="6C16090E" w:rsidR="0032113F" w:rsidRPr="000C5C30" w:rsidRDefault="0032113F">
      <w:pPr>
        <w:pStyle w:val="Notedebasdepage"/>
        <w:rPr>
          <w:rFonts w:ascii="Times New Roman" w:hAnsi="Times New Roman" w:cs="Times New Roman"/>
        </w:rPr>
      </w:pPr>
    </w:p>
  </w:footnote>
  <w:footnote w:id="15">
    <w:p w14:paraId="28257213" w14:textId="23ECB478" w:rsidR="0032113F" w:rsidRPr="004A5928" w:rsidRDefault="0032113F" w:rsidP="00B4051E">
      <w:pPr>
        <w:pStyle w:val="Notedebasdepage"/>
        <w:jc w:val="both"/>
        <w:rPr>
          <w:rFonts w:ascii="Times New Roman" w:hAnsi="Times New Roman" w:cs="Times New Roman"/>
        </w:rPr>
      </w:pPr>
      <w:r w:rsidRPr="004A5928">
        <w:rPr>
          <w:rStyle w:val="Appelnotedebasdep"/>
          <w:rFonts w:ascii="Times New Roman" w:hAnsi="Times New Roman" w:cs="Times New Roman"/>
        </w:rPr>
        <w:footnoteRef/>
      </w:r>
      <w:r w:rsidRPr="004A5928">
        <w:rPr>
          <w:rFonts w:ascii="Times New Roman" w:hAnsi="Times New Roman" w:cs="Times New Roman"/>
        </w:rPr>
        <w:t xml:space="preserve"> Le nouveau gouvernement allemand s’est déclaré contre la labellisation du nucléaire comme énergie verte et </w:t>
      </w:r>
      <w:r>
        <w:rPr>
          <w:rFonts w:ascii="Times New Roman" w:hAnsi="Times New Roman" w:cs="Times New Roman"/>
        </w:rPr>
        <w:t xml:space="preserve">semble moins désireux que son prédécesseur de l’obtenir </w:t>
      </w:r>
      <w:r w:rsidRPr="004A5928">
        <w:rPr>
          <w:rFonts w:ascii="Times New Roman" w:hAnsi="Times New Roman" w:cs="Times New Roman"/>
        </w:rPr>
        <w:t>pour le gaz.</w:t>
      </w:r>
      <w:r>
        <w:rPr>
          <w:rFonts w:ascii="Times New Roman" w:hAnsi="Times New Roman" w:cs="Times New Roman"/>
        </w:rPr>
        <w:t xml:space="preserve"> De toute façon, le projet doit être examiné dans les quatre mois par le Conseil des ministres des finances où il sera impossible d’atteindre une majorité de blocage.</w:t>
      </w:r>
    </w:p>
  </w:footnote>
  <w:footnote w:id="16">
    <w:p w14:paraId="3289EA65" w14:textId="3C2B5059" w:rsidR="0032113F" w:rsidRPr="000C5C30" w:rsidRDefault="0032113F">
      <w:pPr>
        <w:pStyle w:val="Notedebasdepage"/>
        <w:rPr>
          <w:rFonts w:ascii="Times New Roman" w:hAnsi="Times New Roman" w:cs="Times New Roman"/>
        </w:rPr>
      </w:pPr>
      <w:r w:rsidRPr="000C5C30">
        <w:rPr>
          <w:rStyle w:val="Appelnotedebasdep"/>
          <w:rFonts w:ascii="Times New Roman" w:hAnsi="Times New Roman" w:cs="Times New Roman"/>
        </w:rPr>
        <w:footnoteRef/>
      </w:r>
      <w:r w:rsidRPr="000C5C30">
        <w:rPr>
          <w:rFonts w:ascii="Times New Roman" w:hAnsi="Times New Roman" w:cs="Times New Roman"/>
        </w:rPr>
        <w:t xml:space="preserve"> Montesquieu, </w:t>
      </w:r>
      <w:r w:rsidRPr="000C5C30">
        <w:rPr>
          <w:rFonts w:ascii="Times New Roman" w:hAnsi="Times New Roman" w:cs="Times New Roman"/>
          <w:i/>
        </w:rPr>
        <w:t>Réflexion sur la monarchie universelle</w:t>
      </w:r>
      <w:r>
        <w:rPr>
          <w:rFonts w:ascii="Times New Roman" w:hAnsi="Times New Roman" w:cs="Times New Roman"/>
          <w:i/>
        </w:rPr>
        <w:t xml:space="preserve"> en Europe</w:t>
      </w:r>
      <w:r w:rsidRPr="000C5C30">
        <w:rPr>
          <w:rFonts w:ascii="Times New Roman" w:hAnsi="Times New Roman" w:cs="Times New Roman"/>
        </w:rPr>
        <w:t xml:space="preserve">, </w:t>
      </w:r>
      <w:r>
        <w:rPr>
          <w:rFonts w:ascii="Times New Roman" w:hAnsi="Times New Roman" w:cs="Times New Roman"/>
        </w:rPr>
        <w:t xml:space="preserve">in </w:t>
      </w:r>
      <w:r w:rsidRPr="0065018B">
        <w:rPr>
          <w:rFonts w:ascii="Times New Roman" w:hAnsi="Times New Roman" w:cs="Times New Roman"/>
          <w:i/>
        </w:rPr>
        <w:t>Œuvres complètes</w:t>
      </w:r>
      <w:r>
        <w:rPr>
          <w:rFonts w:ascii="Times New Roman" w:hAnsi="Times New Roman" w:cs="Times New Roman"/>
        </w:rPr>
        <w:t>, Tome II, ENS éditions-Classiques Garnier, 2000, p.</w:t>
      </w:r>
      <w:r w:rsidRPr="000C5C30">
        <w:rPr>
          <w:rFonts w:ascii="Times New Roman" w:hAnsi="Times New Roman" w:cs="Times New Roman"/>
        </w:rPr>
        <w:t>341.</w:t>
      </w:r>
    </w:p>
  </w:footnote>
  <w:footnote w:id="17">
    <w:p w14:paraId="0F5C9F67" w14:textId="77777777" w:rsidR="0032113F" w:rsidRPr="000C5C30" w:rsidRDefault="0032113F" w:rsidP="001B53B8">
      <w:pPr>
        <w:pStyle w:val="Notedebasdepage"/>
        <w:jc w:val="both"/>
        <w:rPr>
          <w:rFonts w:ascii="Times New Roman" w:hAnsi="Times New Roman" w:cs="Times New Roman"/>
        </w:rPr>
      </w:pPr>
      <w:r w:rsidRPr="000C5C30">
        <w:rPr>
          <w:rStyle w:val="Appelnotedebasdep"/>
          <w:rFonts w:ascii="Times New Roman" w:hAnsi="Times New Roman" w:cs="Times New Roman"/>
        </w:rPr>
        <w:footnoteRef/>
      </w:r>
      <w:r w:rsidRPr="000C5C30">
        <w:rPr>
          <w:rFonts w:ascii="Times New Roman" w:hAnsi="Times New Roman" w:cs="Times New Roman"/>
        </w:rPr>
        <w:t xml:space="preserve"> Immanuel Wallerstein, </w:t>
      </w:r>
      <w:r w:rsidRPr="000C5C30">
        <w:rPr>
          <w:rFonts w:ascii="Times New Roman" w:hAnsi="Times New Roman" w:cs="Times New Roman"/>
          <w:i/>
        </w:rPr>
        <w:t>Comprendre le monde, Introduction à l’analyse des systèmes-monde</w:t>
      </w:r>
      <w:r w:rsidRPr="000C5C30">
        <w:rPr>
          <w:rFonts w:ascii="Times New Roman" w:hAnsi="Times New Roman" w:cs="Times New Roman"/>
        </w:rPr>
        <w:t xml:space="preserve">, Poche La Découverte, 2009. </w:t>
      </w:r>
    </w:p>
  </w:footnote>
  <w:footnote w:id="18">
    <w:p w14:paraId="38BFCB6D" w14:textId="77777777" w:rsidR="0032113F" w:rsidRPr="000C5C30" w:rsidRDefault="0032113F" w:rsidP="00332BEB">
      <w:pPr>
        <w:pStyle w:val="Notedebasdepage"/>
        <w:jc w:val="both"/>
        <w:rPr>
          <w:rFonts w:ascii="Times New Roman" w:hAnsi="Times New Roman" w:cs="Times New Roman"/>
        </w:rPr>
      </w:pPr>
      <w:r w:rsidRPr="000C5C30">
        <w:rPr>
          <w:rStyle w:val="Appelnotedebasdep"/>
          <w:rFonts w:ascii="Times New Roman" w:hAnsi="Times New Roman" w:cs="Times New Roman"/>
        </w:rPr>
        <w:footnoteRef/>
      </w:r>
      <w:r w:rsidRPr="000C5C30">
        <w:rPr>
          <w:rFonts w:ascii="Times New Roman" w:hAnsi="Times New Roman" w:cs="Times New Roman"/>
        </w:rPr>
        <w:t xml:space="preserve"> Karl Polanyi, </w:t>
      </w:r>
      <w:r w:rsidRPr="000C5C30">
        <w:rPr>
          <w:rFonts w:ascii="Times New Roman" w:hAnsi="Times New Roman" w:cs="Times New Roman"/>
          <w:i/>
        </w:rPr>
        <w:t>La Grande transformation, Aux origines politiques et économiques de notre temps,</w:t>
      </w:r>
      <w:r w:rsidRPr="000C5C30">
        <w:rPr>
          <w:rFonts w:ascii="Times New Roman" w:hAnsi="Times New Roman" w:cs="Times New Roman"/>
        </w:rPr>
        <w:t xml:space="preserve"> Gallimard, 1983, p. 99. </w:t>
      </w:r>
    </w:p>
  </w:footnote>
  <w:footnote w:id="19">
    <w:p w14:paraId="25B57888" w14:textId="2CE75A9A" w:rsidR="0032113F" w:rsidRPr="000C5C30" w:rsidRDefault="0032113F" w:rsidP="008427D6">
      <w:pPr>
        <w:pStyle w:val="Notedebasdepage"/>
        <w:jc w:val="both"/>
        <w:rPr>
          <w:rFonts w:ascii="Times New Roman" w:hAnsi="Times New Roman" w:cs="Times New Roman"/>
        </w:rPr>
      </w:pPr>
      <w:r w:rsidRPr="000C5C30">
        <w:rPr>
          <w:rStyle w:val="Appelnotedebasdep"/>
          <w:rFonts w:ascii="Times New Roman" w:hAnsi="Times New Roman" w:cs="Times New Roman"/>
        </w:rPr>
        <w:footnoteRef/>
      </w:r>
      <w:r w:rsidRPr="000C5C30">
        <w:rPr>
          <w:rFonts w:ascii="Times New Roman" w:hAnsi="Times New Roman" w:cs="Times New Roman"/>
        </w:rPr>
        <w:t xml:space="preserve"> Cité par Fernand Braudel, </w:t>
      </w:r>
      <w:r w:rsidRPr="000C5C30">
        <w:rPr>
          <w:rFonts w:ascii="Times New Roman" w:hAnsi="Times New Roman" w:cs="Times New Roman"/>
          <w:i/>
        </w:rPr>
        <w:t>Les jeux de l’échange</w:t>
      </w:r>
      <w:r w:rsidRPr="000C5C30">
        <w:rPr>
          <w:rFonts w:ascii="Times New Roman" w:hAnsi="Times New Roman" w:cs="Times New Roman"/>
        </w:rPr>
        <w:t>, Armand Colin, 1988, p. 484</w:t>
      </w:r>
      <w:r>
        <w:rPr>
          <w:rFonts w:ascii="Times New Roman" w:hAnsi="Times New Roman" w:cs="Times New Roman"/>
        </w:rPr>
        <w:t>.</w:t>
      </w:r>
    </w:p>
  </w:footnote>
  <w:footnote w:id="20">
    <w:p w14:paraId="078C0975" w14:textId="57A8DD9B" w:rsidR="0032113F" w:rsidRPr="000C5C30" w:rsidRDefault="0032113F" w:rsidP="00084B56">
      <w:pPr>
        <w:pStyle w:val="NormalWeb"/>
      </w:pPr>
      <w:r w:rsidRPr="000C5C30">
        <w:rPr>
          <w:rStyle w:val="Appelnotedebasdep"/>
        </w:rPr>
        <w:footnoteRef/>
      </w:r>
      <w:r w:rsidRPr="000C5C30">
        <w:t xml:space="preserve"> C’est par exemple encore la thèse de James Steuart, dans </w:t>
      </w:r>
      <w:r w:rsidRPr="000C5C30">
        <w:rPr>
          <w:i/>
        </w:rPr>
        <w:t>An Inquiry into the Principle of Political Economy</w:t>
      </w:r>
      <w:r w:rsidRPr="000C5C30">
        <w:t>, (1767), London</w:t>
      </w:r>
      <w:r>
        <w:t xml:space="preserve"> </w:t>
      </w:r>
      <w:r w:rsidRPr="000C5C30">
        <w:t>: A. Millar and T. Cadell, reprint London</w:t>
      </w:r>
      <w:r>
        <w:t> :</w:t>
      </w:r>
      <w:r w:rsidRPr="000C5C30">
        <w:t xml:space="preserve"> Pickering and Chatto, 1998.</w:t>
      </w:r>
    </w:p>
    <w:p w14:paraId="2253925D" w14:textId="77777777" w:rsidR="0032113F" w:rsidRPr="000C5C30" w:rsidRDefault="0032113F" w:rsidP="00084B56">
      <w:pPr>
        <w:pStyle w:val="Notedebasdepage"/>
        <w:rPr>
          <w:rFonts w:ascii="Times New Roman" w:hAnsi="Times New Roman" w:cs="Times New Roman"/>
        </w:rPr>
      </w:pPr>
    </w:p>
  </w:footnote>
  <w:footnote w:id="21">
    <w:p w14:paraId="7B22D0D9" w14:textId="77777777" w:rsidR="0032113F" w:rsidRPr="000C5C30" w:rsidRDefault="0032113F" w:rsidP="00084B56">
      <w:pPr>
        <w:pStyle w:val="Notedebasdepage"/>
        <w:jc w:val="both"/>
        <w:rPr>
          <w:rFonts w:ascii="Times New Roman" w:hAnsi="Times New Roman" w:cs="Times New Roman"/>
        </w:rPr>
      </w:pPr>
      <w:r w:rsidRPr="000C5C30">
        <w:rPr>
          <w:rStyle w:val="Appelnotedebasdep"/>
          <w:rFonts w:ascii="Times New Roman" w:hAnsi="Times New Roman" w:cs="Times New Roman"/>
        </w:rPr>
        <w:footnoteRef/>
      </w:r>
      <w:r w:rsidRPr="000C5C30">
        <w:rPr>
          <w:rFonts w:ascii="Times New Roman" w:hAnsi="Times New Roman" w:cs="Times New Roman"/>
        </w:rPr>
        <w:t xml:space="preserve"> J.C.L Sismonde de Sismondi, </w:t>
      </w:r>
      <w:r w:rsidRPr="000C5C30">
        <w:rPr>
          <w:rFonts w:ascii="Times New Roman" w:hAnsi="Times New Roman" w:cs="Times New Roman"/>
          <w:i/>
        </w:rPr>
        <w:t>Nouveaux principes d’économie politique</w:t>
      </w:r>
      <w:r w:rsidRPr="000C5C30">
        <w:rPr>
          <w:rFonts w:ascii="Times New Roman" w:hAnsi="Times New Roman" w:cs="Times New Roman"/>
        </w:rPr>
        <w:t>, Calmann-Lévy, 1971, p. 79.</w:t>
      </w:r>
    </w:p>
  </w:footnote>
  <w:footnote w:id="22">
    <w:p w14:paraId="0F96759D" w14:textId="77777777" w:rsidR="0032113F" w:rsidRPr="000C5C30" w:rsidRDefault="0032113F" w:rsidP="00B65F32">
      <w:pPr>
        <w:pStyle w:val="Notedebasdepage"/>
        <w:jc w:val="both"/>
        <w:rPr>
          <w:rFonts w:ascii="Times New Roman" w:hAnsi="Times New Roman" w:cs="Times New Roman"/>
        </w:rPr>
      </w:pPr>
      <w:r w:rsidRPr="000C5C30">
        <w:rPr>
          <w:rStyle w:val="Appelnotedebasdep"/>
          <w:rFonts w:ascii="Times New Roman" w:hAnsi="Times New Roman" w:cs="Times New Roman"/>
        </w:rPr>
        <w:footnoteRef/>
      </w:r>
      <w:r w:rsidRPr="000C5C30">
        <w:rPr>
          <w:rFonts w:ascii="Times New Roman" w:hAnsi="Times New Roman" w:cs="Times New Roman"/>
        </w:rPr>
        <w:t xml:space="preserve"> David Hume, « Du commerce », in </w:t>
      </w:r>
      <w:r w:rsidRPr="000C5C30">
        <w:rPr>
          <w:rFonts w:ascii="Times New Roman" w:hAnsi="Times New Roman" w:cs="Times New Roman"/>
          <w:i/>
        </w:rPr>
        <w:t>4 essais politiques</w:t>
      </w:r>
      <w:r w:rsidRPr="000C5C30">
        <w:rPr>
          <w:rFonts w:ascii="Times New Roman" w:hAnsi="Times New Roman" w:cs="Times New Roman"/>
        </w:rPr>
        <w:t>, T.E.R bilingue, 1981, p. 28.</w:t>
      </w:r>
    </w:p>
  </w:footnote>
  <w:footnote w:id="23">
    <w:p w14:paraId="1B8543A7" w14:textId="3146DFC3" w:rsidR="0032113F" w:rsidRPr="00FA1002" w:rsidRDefault="0032113F" w:rsidP="00327496">
      <w:pPr>
        <w:pStyle w:val="Notedebasdepage"/>
        <w:jc w:val="both"/>
        <w:rPr>
          <w:rFonts w:ascii="Times New Roman" w:hAnsi="Times New Roman" w:cs="Times New Roman"/>
        </w:rPr>
      </w:pPr>
      <w:r w:rsidRPr="00FA1002">
        <w:rPr>
          <w:rStyle w:val="Appelnotedebasdep"/>
          <w:rFonts w:ascii="Times New Roman" w:hAnsi="Times New Roman" w:cs="Times New Roman"/>
        </w:rPr>
        <w:footnoteRef/>
      </w:r>
      <w:r w:rsidRPr="00FA1002">
        <w:rPr>
          <w:rFonts w:ascii="Times New Roman" w:hAnsi="Times New Roman" w:cs="Times New Roman"/>
        </w:rPr>
        <w:t xml:space="preserve"> Jean Peyrelevade, </w:t>
      </w:r>
      <w:r>
        <w:rPr>
          <w:rFonts w:ascii="Times New Roman" w:hAnsi="Times New Roman" w:cs="Times New Roman"/>
        </w:rPr>
        <w:t>« </w:t>
      </w:r>
      <w:r w:rsidRPr="00FA1002">
        <w:rPr>
          <w:rFonts w:ascii="Times New Roman" w:hAnsi="Times New Roman" w:cs="Times New Roman"/>
        </w:rPr>
        <w:t>Le retour de l’Etat</w:t>
      </w:r>
      <w:r>
        <w:rPr>
          <w:rFonts w:ascii="Times New Roman" w:hAnsi="Times New Roman" w:cs="Times New Roman"/>
        </w:rPr>
        <w:t> »</w:t>
      </w:r>
      <w:r w:rsidRPr="00FA1002">
        <w:rPr>
          <w:rFonts w:ascii="Times New Roman" w:hAnsi="Times New Roman" w:cs="Times New Roman"/>
        </w:rPr>
        <w:t xml:space="preserve">, in </w:t>
      </w:r>
      <w:r w:rsidRPr="00327496">
        <w:rPr>
          <w:rFonts w:ascii="Times New Roman" w:hAnsi="Times New Roman" w:cs="Times New Roman"/>
          <w:i/>
          <w:iCs/>
        </w:rPr>
        <w:t>Les métamorphoses des relations Etat-Entreprise</w:t>
      </w:r>
      <w:r w:rsidRPr="00FA1002">
        <w:rPr>
          <w:rFonts w:ascii="Times New Roman" w:hAnsi="Times New Roman" w:cs="Times New Roman"/>
        </w:rPr>
        <w:t>, Editions Manucius, 2020, p. 153</w:t>
      </w:r>
      <w:r>
        <w:rPr>
          <w:rFonts w:ascii="Times New Roman" w:hAnsi="Times New Roman" w:cs="Times New Roman"/>
        </w:rPr>
        <w:t xml:space="preserve"> (nous soulignons)</w:t>
      </w:r>
      <w:r w:rsidRPr="00FA1002">
        <w:rPr>
          <w:rFonts w:ascii="Times New Roman" w:hAnsi="Times New Roman" w:cs="Times New Roman"/>
        </w:rPr>
        <w:t xml:space="preserve">. </w:t>
      </w:r>
    </w:p>
  </w:footnote>
  <w:footnote w:id="24">
    <w:p w14:paraId="24AD49DA" w14:textId="0D997123" w:rsidR="0032113F" w:rsidRPr="00CF52E6" w:rsidRDefault="0032113F" w:rsidP="00CF52E6">
      <w:pPr>
        <w:pStyle w:val="Notedebasdepage"/>
        <w:jc w:val="both"/>
        <w:rPr>
          <w:rFonts w:ascii="Times New Roman" w:hAnsi="Times New Roman" w:cs="Times New Roman"/>
        </w:rPr>
      </w:pPr>
      <w:r w:rsidRPr="00CF52E6">
        <w:rPr>
          <w:rStyle w:val="Appelnotedebasdep"/>
          <w:rFonts w:ascii="Times New Roman" w:hAnsi="Times New Roman" w:cs="Times New Roman"/>
        </w:rPr>
        <w:footnoteRef/>
      </w:r>
      <w:r w:rsidRPr="00CF52E6">
        <w:rPr>
          <w:rFonts w:ascii="Times New Roman" w:hAnsi="Times New Roman" w:cs="Times New Roman"/>
        </w:rPr>
        <w:t xml:space="preserve"> Pour cette thèse, cf. Marlène Benquet Théo Bourgeron, </w:t>
      </w:r>
      <w:r w:rsidRPr="00CF52E6">
        <w:rPr>
          <w:rFonts w:ascii="Times New Roman" w:hAnsi="Times New Roman" w:cs="Times New Roman"/>
          <w:i/>
          <w:iCs/>
        </w:rPr>
        <w:t>La finance autoritaire Vers la fin du néolibéralisme</w:t>
      </w:r>
      <w:r w:rsidRPr="00CF52E6">
        <w:rPr>
          <w:rFonts w:ascii="Times New Roman" w:hAnsi="Times New Roman" w:cs="Times New Roman"/>
        </w:rPr>
        <w:t>, 2021, Raisons d’agir éditions</w:t>
      </w:r>
      <w:r>
        <w:rPr>
          <w:rFonts w:ascii="Times New Roman" w:hAnsi="Times New Roman" w:cs="Times New Roman"/>
        </w:rPr>
        <w:t>.</w:t>
      </w:r>
    </w:p>
  </w:footnote>
  <w:footnote w:id="25">
    <w:p w14:paraId="48A16212" w14:textId="4A0E0551" w:rsidR="0032113F" w:rsidRPr="00BD09AC" w:rsidRDefault="0032113F">
      <w:pPr>
        <w:pStyle w:val="Notedebasdepage"/>
        <w:rPr>
          <w:rFonts w:ascii="Times New Roman" w:hAnsi="Times New Roman" w:cs="Times New Roman"/>
        </w:rPr>
      </w:pPr>
      <w:r w:rsidRPr="00BD09AC">
        <w:rPr>
          <w:rStyle w:val="Appelnotedebasdep"/>
          <w:rFonts w:ascii="Times New Roman" w:hAnsi="Times New Roman" w:cs="Times New Roman"/>
        </w:rPr>
        <w:footnoteRef/>
      </w:r>
      <w:r w:rsidRPr="00BD09AC">
        <w:rPr>
          <w:rFonts w:ascii="Times New Roman" w:hAnsi="Times New Roman" w:cs="Times New Roman"/>
        </w:rPr>
        <w:t xml:space="preserve"> Gilles Deleuze Felix Guattari, </w:t>
      </w:r>
      <w:r w:rsidRPr="00BD09AC">
        <w:rPr>
          <w:rFonts w:ascii="Times New Roman" w:hAnsi="Times New Roman" w:cs="Times New Roman"/>
          <w:i/>
          <w:iCs/>
        </w:rPr>
        <w:t>L’Anti-Œdipe</w:t>
      </w:r>
      <w:r w:rsidRPr="00BD09AC">
        <w:rPr>
          <w:rFonts w:ascii="Times New Roman" w:hAnsi="Times New Roman" w:cs="Times New Roman"/>
        </w:rPr>
        <w:t xml:space="preserve">, Les </w:t>
      </w:r>
      <w:r>
        <w:rPr>
          <w:rFonts w:ascii="Times New Roman" w:hAnsi="Times New Roman" w:cs="Times New Roman"/>
        </w:rPr>
        <w:t>E</w:t>
      </w:r>
      <w:r w:rsidRPr="00BD09AC">
        <w:rPr>
          <w:rFonts w:ascii="Times New Roman" w:hAnsi="Times New Roman" w:cs="Times New Roman"/>
        </w:rPr>
        <w:t xml:space="preserve">ditions de Minuit, 2002, p. 307.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A9"/>
    <w:rsid w:val="00005C2C"/>
    <w:rsid w:val="000111CC"/>
    <w:rsid w:val="00012979"/>
    <w:rsid w:val="000215B3"/>
    <w:rsid w:val="000219CE"/>
    <w:rsid w:val="00025859"/>
    <w:rsid w:val="0002730A"/>
    <w:rsid w:val="000304E5"/>
    <w:rsid w:val="00047706"/>
    <w:rsid w:val="0005150D"/>
    <w:rsid w:val="000566CE"/>
    <w:rsid w:val="00056CD7"/>
    <w:rsid w:val="00057ABF"/>
    <w:rsid w:val="00065289"/>
    <w:rsid w:val="000777F0"/>
    <w:rsid w:val="00084B56"/>
    <w:rsid w:val="000879E2"/>
    <w:rsid w:val="00093123"/>
    <w:rsid w:val="00095129"/>
    <w:rsid w:val="00095986"/>
    <w:rsid w:val="000974C0"/>
    <w:rsid w:val="000A3A83"/>
    <w:rsid w:val="000B1A0A"/>
    <w:rsid w:val="000C4ED9"/>
    <w:rsid w:val="000C5C30"/>
    <w:rsid w:val="000D01D5"/>
    <w:rsid w:val="000D1EA3"/>
    <w:rsid w:val="000D5266"/>
    <w:rsid w:val="000E39B5"/>
    <w:rsid w:val="000F2B8D"/>
    <w:rsid w:val="00101F02"/>
    <w:rsid w:val="001040F2"/>
    <w:rsid w:val="00112345"/>
    <w:rsid w:val="00115CF1"/>
    <w:rsid w:val="00116F08"/>
    <w:rsid w:val="00124873"/>
    <w:rsid w:val="00125CB2"/>
    <w:rsid w:val="00125FF2"/>
    <w:rsid w:val="0013597A"/>
    <w:rsid w:val="00136350"/>
    <w:rsid w:val="00142F62"/>
    <w:rsid w:val="00164A97"/>
    <w:rsid w:val="001774A6"/>
    <w:rsid w:val="00180AB9"/>
    <w:rsid w:val="00186C0E"/>
    <w:rsid w:val="00192CD0"/>
    <w:rsid w:val="001A0AF2"/>
    <w:rsid w:val="001A3E9A"/>
    <w:rsid w:val="001B3A5E"/>
    <w:rsid w:val="001B53B8"/>
    <w:rsid w:val="001B78AD"/>
    <w:rsid w:val="001B7EB8"/>
    <w:rsid w:val="001D3E25"/>
    <w:rsid w:val="001D5965"/>
    <w:rsid w:val="001E150C"/>
    <w:rsid w:val="001E18C7"/>
    <w:rsid w:val="001F2627"/>
    <w:rsid w:val="001F4128"/>
    <w:rsid w:val="001F62DB"/>
    <w:rsid w:val="002006F7"/>
    <w:rsid w:val="002040EE"/>
    <w:rsid w:val="00214087"/>
    <w:rsid w:val="00222B66"/>
    <w:rsid w:val="00231EED"/>
    <w:rsid w:val="0023268D"/>
    <w:rsid w:val="00233216"/>
    <w:rsid w:val="00233BB8"/>
    <w:rsid w:val="00237A10"/>
    <w:rsid w:val="002405A9"/>
    <w:rsid w:val="00253FB3"/>
    <w:rsid w:val="0025516F"/>
    <w:rsid w:val="002602C1"/>
    <w:rsid w:val="00271013"/>
    <w:rsid w:val="00274364"/>
    <w:rsid w:val="0027787B"/>
    <w:rsid w:val="00284403"/>
    <w:rsid w:val="00291D65"/>
    <w:rsid w:val="002B1AF6"/>
    <w:rsid w:val="002B214F"/>
    <w:rsid w:val="002B3035"/>
    <w:rsid w:val="002B4ECF"/>
    <w:rsid w:val="002B5247"/>
    <w:rsid w:val="002B76C3"/>
    <w:rsid w:val="002D7433"/>
    <w:rsid w:val="002D7804"/>
    <w:rsid w:val="002E0365"/>
    <w:rsid w:val="002F0B3B"/>
    <w:rsid w:val="002F2374"/>
    <w:rsid w:val="0030212E"/>
    <w:rsid w:val="0030266A"/>
    <w:rsid w:val="00302ADF"/>
    <w:rsid w:val="003065D1"/>
    <w:rsid w:val="0032113F"/>
    <w:rsid w:val="00327496"/>
    <w:rsid w:val="00332BEB"/>
    <w:rsid w:val="00332CC0"/>
    <w:rsid w:val="00346FA2"/>
    <w:rsid w:val="00361D0D"/>
    <w:rsid w:val="00364B40"/>
    <w:rsid w:val="00370CD3"/>
    <w:rsid w:val="0037312E"/>
    <w:rsid w:val="003854C3"/>
    <w:rsid w:val="0038768E"/>
    <w:rsid w:val="00387E99"/>
    <w:rsid w:val="00391D51"/>
    <w:rsid w:val="00392B30"/>
    <w:rsid w:val="00394CA4"/>
    <w:rsid w:val="003A1214"/>
    <w:rsid w:val="003B1962"/>
    <w:rsid w:val="003B26C0"/>
    <w:rsid w:val="003B656F"/>
    <w:rsid w:val="003B767D"/>
    <w:rsid w:val="003C2EEA"/>
    <w:rsid w:val="003D1944"/>
    <w:rsid w:val="003D4FAE"/>
    <w:rsid w:val="003E34C9"/>
    <w:rsid w:val="003E6316"/>
    <w:rsid w:val="003E69EF"/>
    <w:rsid w:val="003F2A54"/>
    <w:rsid w:val="00404425"/>
    <w:rsid w:val="0040585D"/>
    <w:rsid w:val="00405B9A"/>
    <w:rsid w:val="0040632A"/>
    <w:rsid w:val="004150DF"/>
    <w:rsid w:val="00422C4D"/>
    <w:rsid w:val="0042507C"/>
    <w:rsid w:val="00443A9F"/>
    <w:rsid w:val="00451DF8"/>
    <w:rsid w:val="00453935"/>
    <w:rsid w:val="00455227"/>
    <w:rsid w:val="00465D30"/>
    <w:rsid w:val="004672CF"/>
    <w:rsid w:val="00482773"/>
    <w:rsid w:val="00482C2F"/>
    <w:rsid w:val="00487A57"/>
    <w:rsid w:val="00490895"/>
    <w:rsid w:val="004911B5"/>
    <w:rsid w:val="004A10C2"/>
    <w:rsid w:val="004A3485"/>
    <w:rsid w:val="004A44D0"/>
    <w:rsid w:val="004A5928"/>
    <w:rsid w:val="004B7D75"/>
    <w:rsid w:val="004C096E"/>
    <w:rsid w:val="004C2C6D"/>
    <w:rsid w:val="004C7877"/>
    <w:rsid w:val="004D04AF"/>
    <w:rsid w:val="004D05A7"/>
    <w:rsid w:val="004D7CD3"/>
    <w:rsid w:val="004E4428"/>
    <w:rsid w:val="004E533E"/>
    <w:rsid w:val="004F348F"/>
    <w:rsid w:val="004F6818"/>
    <w:rsid w:val="00520A2A"/>
    <w:rsid w:val="0054076F"/>
    <w:rsid w:val="00552341"/>
    <w:rsid w:val="00563A37"/>
    <w:rsid w:val="00566625"/>
    <w:rsid w:val="00575932"/>
    <w:rsid w:val="00582DD5"/>
    <w:rsid w:val="00585774"/>
    <w:rsid w:val="00585970"/>
    <w:rsid w:val="005879D7"/>
    <w:rsid w:val="005906F0"/>
    <w:rsid w:val="00594A94"/>
    <w:rsid w:val="005977FC"/>
    <w:rsid w:val="005A7798"/>
    <w:rsid w:val="005C25A6"/>
    <w:rsid w:val="005C2769"/>
    <w:rsid w:val="005C4132"/>
    <w:rsid w:val="005D15E6"/>
    <w:rsid w:val="005D22D8"/>
    <w:rsid w:val="005D3353"/>
    <w:rsid w:val="005D4293"/>
    <w:rsid w:val="005F7A44"/>
    <w:rsid w:val="0060618E"/>
    <w:rsid w:val="006102AC"/>
    <w:rsid w:val="006126F8"/>
    <w:rsid w:val="00613363"/>
    <w:rsid w:val="006156E5"/>
    <w:rsid w:val="006243AC"/>
    <w:rsid w:val="006349CA"/>
    <w:rsid w:val="006470F9"/>
    <w:rsid w:val="0065018B"/>
    <w:rsid w:val="0065089E"/>
    <w:rsid w:val="006570CE"/>
    <w:rsid w:val="00657F06"/>
    <w:rsid w:val="00664A38"/>
    <w:rsid w:val="006654F0"/>
    <w:rsid w:val="00665791"/>
    <w:rsid w:val="00670ACA"/>
    <w:rsid w:val="00675EDB"/>
    <w:rsid w:val="0067605B"/>
    <w:rsid w:val="00677E82"/>
    <w:rsid w:val="006815D0"/>
    <w:rsid w:val="006923F2"/>
    <w:rsid w:val="00693497"/>
    <w:rsid w:val="00693563"/>
    <w:rsid w:val="006940D0"/>
    <w:rsid w:val="006961C9"/>
    <w:rsid w:val="006A0208"/>
    <w:rsid w:val="006A23C1"/>
    <w:rsid w:val="006A2BD3"/>
    <w:rsid w:val="006A6485"/>
    <w:rsid w:val="006B02C0"/>
    <w:rsid w:val="006B3394"/>
    <w:rsid w:val="006B4EE7"/>
    <w:rsid w:val="006C4C96"/>
    <w:rsid w:val="006D39C4"/>
    <w:rsid w:val="006D6BF5"/>
    <w:rsid w:val="006E6EDC"/>
    <w:rsid w:val="006F184A"/>
    <w:rsid w:val="006F1CFB"/>
    <w:rsid w:val="006F2A77"/>
    <w:rsid w:val="00706F67"/>
    <w:rsid w:val="0071013E"/>
    <w:rsid w:val="00711B19"/>
    <w:rsid w:val="00712044"/>
    <w:rsid w:val="00731B18"/>
    <w:rsid w:val="007400E9"/>
    <w:rsid w:val="00746747"/>
    <w:rsid w:val="00750917"/>
    <w:rsid w:val="007517B3"/>
    <w:rsid w:val="007570D8"/>
    <w:rsid w:val="00757C6C"/>
    <w:rsid w:val="00777656"/>
    <w:rsid w:val="00777C70"/>
    <w:rsid w:val="00780369"/>
    <w:rsid w:val="007838BB"/>
    <w:rsid w:val="00795E0C"/>
    <w:rsid w:val="00797721"/>
    <w:rsid w:val="007B6FCE"/>
    <w:rsid w:val="007D5DD2"/>
    <w:rsid w:val="007E1A2E"/>
    <w:rsid w:val="007E49C3"/>
    <w:rsid w:val="007F6C1B"/>
    <w:rsid w:val="0081266B"/>
    <w:rsid w:val="00814E00"/>
    <w:rsid w:val="008224F0"/>
    <w:rsid w:val="00827992"/>
    <w:rsid w:val="00831F9B"/>
    <w:rsid w:val="0083295B"/>
    <w:rsid w:val="008427D6"/>
    <w:rsid w:val="0084643C"/>
    <w:rsid w:val="00846578"/>
    <w:rsid w:val="008670F7"/>
    <w:rsid w:val="008672EA"/>
    <w:rsid w:val="00883B92"/>
    <w:rsid w:val="0089346B"/>
    <w:rsid w:val="00895008"/>
    <w:rsid w:val="008A4EC4"/>
    <w:rsid w:val="008A5F89"/>
    <w:rsid w:val="008A7898"/>
    <w:rsid w:val="008A7FA2"/>
    <w:rsid w:val="008B1DE4"/>
    <w:rsid w:val="008B6484"/>
    <w:rsid w:val="008C1A0F"/>
    <w:rsid w:val="008C2CDB"/>
    <w:rsid w:val="008C3B76"/>
    <w:rsid w:val="008C565B"/>
    <w:rsid w:val="008C67CA"/>
    <w:rsid w:val="008C6A1D"/>
    <w:rsid w:val="008D68F6"/>
    <w:rsid w:val="008E36B5"/>
    <w:rsid w:val="008E666F"/>
    <w:rsid w:val="008F62C5"/>
    <w:rsid w:val="00903C57"/>
    <w:rsid w:val="00936B61"/>
    <w:rsid w:val="00937C17"/>
    <w:rsid w:val="00943007"/>
    <w:rsid w:val="00945ACD"/>
    <w:rsid w:val="00947181"/>
    <w:rsid w:val="00960321"/>
    <w:rsid w:val="0096577B"/>
    <w:rsid w:val="00972589"/>
    <w:rsid w:val="0098122A"/>
    <w:rsid w:val="00982837"/>
    <w:rsid w:val="00985917"/>
    <w:rsid w:val="00985CBB"/>
    <w:rsid w:val="00991953"/>
    <w:rsid w:val="00991DEB"/>
    <w:rsid w:val="0099754B"/>
    <w:rsid w:val="00997BD0"/>
    <w:rsid w:val="009A0230"/>
    <w:rsid w:val="009A5BFC"/>
    <w:rsid w:val="009A5C15"/>
    <w:rsid w:val="009B1633"/>
    <w:rsid w:val="009B3AF7"/>
    <w:rsid w:val="009B510D"/>
    <w:rsid w:val="009B779D"/>
    <w:rsid w:val="009E0A3C"/>
    <w:rsid w:val="009E1629"/>
    <w:rsid w:val="009E449C"/>
    <w:rsid w:val="009F3B1B"/>
    <w:rsid w:val="009F58A4"/>
    <w:rsid w:val="009F77C5"/>
    <w:rsid w:val="00A36B83"/>
    <w:rsid w:val="00A43EF3"/>
    <w:rsid w:val="00A46EAF"/>
    <w:rsid w:val="00A47793"/>
    <w:rsid w:val="00A569B6"/>
    <w:rsid w:val="00A576C4"/>
    <w:rsid w:val="00A63A96"/>
    <w:rsid w:val="00A63C2B"/>
    <w:rsid w:val="00A65F28"/>
    <w:rsid w:val="00A72B90"/>
    <w:rsid w:val="00A731CA"/>
    <w:rsid w:val="00AA3A9B"/>
    <w:rsid w:val="00AA48B4"/>
    <w:rsid w:val="00AB02B6"/>
    <w:rsid w:val="00AC4E7C"/>
    <w:rsid w:val="00AD74B4"/>
    <w:rsid w:val="00AD76C9"/>
    <w:rsid w:val="00AE2300"/>
    <w:rsid w:val="00AE2FDD"/>
    <w:rsid w:val="00AF41CC"/>
    <w:rsid w:val="00AF7390"/>
    <w:rsid w:val="00AF7CC1"/>
    <w:rsid w:val="00B074B7"/>
    <w:rsid w:val="00B1453F"/>
    <w:rsid w:val="00B20E7F"/>
    <w:rsid w:val="00B2612B"/>
    <w:rsid w:val="00B330DE"/>
    <w:rsid w:val="00B4051E"/>
    <w:rsid w:val="00B4132C"/>
    <w:rsid w:val="00B43682"/>
    <w:rsid w:val="00B44C57"/>
    <w:rsid w:val="00B5522F"/>
    <w:rsid w:val="00B5547F"/>
    <w:rsid w:val="00B65F32"/>
    <w:rsid w:val="00B66C89"/>
    <w:rsid w:val="00B75D6C"/>
    <w:rsid w:val="00B766AA"/>
    <w:rsid w:val="00B84647"/>
    <w:rsid w:val="00B850CC"/>
    <w:rsid w:val="00B95303"/>
    <w:rsid w:val="00B9584E"/>
    <w:rsid w:val="00BA080C"/>
    <w:rsid w:val="00BA0DDD"/>
    <w:rsid w:val="00BC2220"/>
    <w:rsid w:val="00BC34E2"/>
    <w:rsid w:val="00BD09AC"/>
    <w:rsid w:val="00BD1BA2"/>
    <w:rsid w:val="00BE4864"/>
    <w:rsid w:val="00BF6CBD"/>
    <w:rsid w:val="00C067A4"/>
    <w:rsid w:val="00C07E65"/>
    <w:rsid w:val="00C131BE"/>
    <w:rsid w:val="00C159A3"/>
    <w:rsid w:val="00C20A7C"/>
    <w:rsid w:val="00C305CB"/>
    <w:rsid w:val="00C3360A"/>
    <w:rsid w:val="00C356F2"/>
    <w:rsid w:val="00C42985"/>
    <w:rsid w:val="00C47BA9"/>
    <w:rsid w:val="00C47E4B"/>
    <w:rsid w:val="00C548F0"/>
    <w:rsid w:val="00C55463"/>
    <w:rsid w:val="00C82789"/>
    <w:rsid w:val="00C8281F"/>
    <w:rsid w:val="00C877E8"/>
    <w:rsid w:val="00C9072B"/>
    <w:rsid w:val="00C969DD"/>
    <w:rsid w:val="00CA072A"/>
    <w:rsid w:val="00CA418C"/>
    <w:rsid w:val="00CC1632"/>
    <w:rsid w:val="00CC37B9"/>
    <w:rsid w:val="00CE0CB2"/>
    <w:rsid w:val="00CE3A37"/>
    <w:rsid w:val="00CE7010"/>
    <w:rsid w:val="00CF52E6"/>
    <w:rsid w:val="00CF7558"/>
    <w:rsid w:val="00D00058"/>
    <w:rsid w:val="00D03054"/>
    <w:rsid w:val="00D05259"/>
    <w:rsid w:val="00D057A3"/>
    <w:rsid w:val="00D07427"/>
    <w:rsid w:val="00D1499A"/>
    <w:rsid w:val="00D16174"/>
    <w:rsid w:val="00D16FEF"/>
    <w:rsid w:val="00D17031"/>
    <w:rsid w:val="00D17C8A"/>
    <w:rsid w:val="00D202BA"/>
    <w:rsid w:val="00D27238"/>
    <w:rsid w:val="00D31A20"/>
    <w:rsid w:val="00D41270"/>
    <w:rsid w:val="00D41E9A"/>
    <w:rsid w:val="00D52265"/>
    <w:rsid w:val="00D778CA"/>
    <w:rsid w:val="00D8545D"/>
    <w:rsid w:val="00D8729A"/>
    <w:rsid w:val="00D9112C"/>
    <w:rsid w:val="00D9206F"/>
    <w:rsid w:val="00D958DE"/>
    <w:rsid w:val="00D96107"/>
    <w:rsid w:val="00DA2229"/>
    <w:rsid w:val="00DA3A71"/>
    <w:rsid w:val="00DB468D"/>
    <w:rsid w:val="00DD1AC0"/>
    <w:rsid w:val="00DD1E48"/>
    <w:rsid w:val="00DE3E5F"/>
    <w:rsid w:val="00DF1305"/>
    <w:rsid w:val="00DF19C6"/>
    <w:rsid w:val="00DF7FA7"/>
    <w:rsid w:val="00E07350"/>
    <w:rsid w:val="00E14538"/>
    <w:rsid w:val="00E15B00"/>
    <w:rsid w:val="00E22E04"/>
    <w:rsid w:val="00E25F76"/>
    <w:rsid w:val="00E31804"/>
    <w:rsid w:val="00E35364"/>
    <w:rsid w:val="00E36907"/>
    <w:rsid w:val="00E375E4"/>
    <w:rsid w:val="00E5334D"/>
    <w:rsid w:val="00E67695"/>
    <w:rsid w:val="00E85BE3"/>
    <w:rsid w:val="00E86B81"/>
    <w:rsid w:val="00E8757D"/>
    <w:rsid w:val="00E9451B"/>
    <w:rsid w:val="00EB79BB"/>
    <w:rsid w:val="00EB7B3C"/>
    <w:rsid w:val="00EC31D2"/>
    <w:rsid w:val="00ED08A4"/>
    <w:rsid w:val="00ED7FC1"/>
    <w:rsid w:val="00EE517D"/>
    <w:rsid w:val="00EE7671"/>
    <w:rsid w:val="00EF2563"/>
    <w:rsid w:val="00F009AE"/>
    <w:rsid w:val="00F020CC"/>
    <w:rsid w:val="00F03BF3"/>
    <w:rsid w:val="00F043C3"/>
    <w:rsid w:val="00F05843"/>
    <w:rsid w:val="00F077ED"/>
    <w:rsid w:val="00F10017"/>
    <w:rsid w:val="00F1530B"/>
    <w:rsid w:val="00F16A59"/>
    <w:rsid w:val="00F20125"/>
    <w:rsid w:val="00F20DCE"/>
    <w:rsid w:val="00F438A2"/>
    <w:rsid w:val="00F45C13"/>
    <w:rsid w:val="00F51832"/>
    <w:rsid w:val="00F60ED9"/>
    <w:rsid w:val="00F61627"/>
    <w:rsid w:val="00F7377F"/>
    <w:rsid w:val="00F77AB7"/>
    <w:rsid w:val="00F82201"/>
    <w:rsid w:val="00F8305A"/>
    <w:rsid w:val="00F84364"/>
    <w:rsid w:val="00F916E7"/>
    <w:rsid w:val="00F93D3F"/>
    <w:rsid w:val="00FA1002"/>
    <w:rsid w:val="00FA17B9"/>
    <w:rsid w:val="00FB2A6B"/>
    <w:rsid w:val="00FB4546"/>
    <w:rsid w:val="00FB4CC7"/>
    <w:rsid w:val="00FC44A2"/>
    <w:rsid w:val="00FC6742"/>
    <w:rsid w:val="00FD0FF8"/>
    <w:rsid w:val="00FD3FAA"/>
    <w:rsid w:val="00FD76D5"/>
    <w:rsid w:val="00FE34B5"/>
    <w:rsid w:val="00FE3CED"/>
    <w:rsid w:val="00FF10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2D685"/>
  <w15:docId w15:val="{D13E221A-CBD2-45F3-BF86-38B2EEBA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7787B"/>
    <w:pPr>
      <w:spacing w:after="0" w:line="240" w:lineRule="auto"/>
    </w:pPr>
    <w:rPr>
      <w:sz w:val="20"/>
      <w:szCs w:val="20"/>
    </w:rPr>
  </w:style>
  <w:style w:type="character" w:customStyle="1" w:styleId="NotedebasdepageCar">
    <w:name w:val="Note de bas de page Car"/>
    <w:basedOn w:val="Policepardfaut"/>
    <w:link w:val="Notedebasdepage"/>
    <w:uiPriority w:val="99"/>
    <w:rsid w:val="0027787B"/>
    <w:rPr>
      <w:sz w:val="20"/>
      <w:szCs w:val="20"/>
    </w:rPr>
  </w:style>
  <w:style w:type="character" w:styleId="Appelnotedebasdep">
    <w:name w:val="footnote reference"/>
    <w:basedOn w:val="Policepardfaut"/>
    <w:uiPriority w:val="99"/>
    <w:unhideWhenUsed/>
    <w:rsid w:val="0027787B"/>
    <w:rPr>
      <w:vertAlign w:val="superscript"/>
    </w:rPr>
  </w:style>
  <w:style w:type="paragraph" w:styleId="NormalWeb">
    <w:name w:val="Normal (Web)"/>
    <w:basedOn w:val="Normal"/>
    <w:uiPriority w:val="99"/>
    <w:unhideWhenUsed/>
    <w:rsid w:val="00B65F32"/>
    <w:pPr>
      <w:spacing w:before="100" w:beforeAutospacing="1" w:after="100" w:afterAutospacing="1" w:line="240" w:lineRule="auto"/>
    </w:pPr>
    <w:rPr>
      <w:rFonts w:ascii="Times New Roman" w:eastAsiaTheme="minorEastAsia" w:hAnsi="Times New Roman" w:cs="Times New Roman"/>
      <w:sz w:val="20"/>
      <w:szCs w:val="20"/>
      <w:lang w:eastAsia="fr-FR"/>
    </w:rPr>
  </w:style>
  <w:style w:type="character" w:styleId="Accentuation">
    <w:name w:val="Emphasis"/>
    <w:basedOn w:val="Policepardfaut"/>
    <w:uiPriority w:val="20"/>
    <w:qFormat/>
    <w:rsid w:val="007B6FCE"/>
    <w:rPr>
      <w:i/>
      <w:iCs/>
    </w:rPr>
  </w:style>
  <w:style w:type="character" w:customStyle="1" w:styleId="apple-converted-space">
    <w:name w:val="apple-converted-space"/>
    <w:basedOn w:val="Policepardfaut"/>
    <w:rsid w:val="007B6FCE"/>
  </w:style>
  <w:style w:type="paragraph" w:styleId="En-tte">
    <w:name w:val="header"/>
    <w:basedOn w:val="Normal"/>
    <w:link w:val="En-tteCar"/>
    <w:uiPriority w:val="99"/>
    <w:unhideWhenUsed/>
    <w:rsid w:val="00025859"/>
    <w:pPr>
      <w:tabs>
        <w:tab w:val="center" w:pos="4536"/>
        <w:tab w:val="right" w:pos="9072"/>
      </w:tabs>
      <w:spacing w:after="0" w:line="240" w:lineRule="auto"/>
    </w:pPr>
  </w:style>
  <w:style w:type="character" w:customStyle="1" w:styleId="En-tteCar">
    <w:name w:val="En-tête Car"/>
    <w:basedOn w:val="Policepardfaut"/>
    <w:link w:val="En-tte"/>
    <w:uiPriority w:val="99"/>
    <w:rsid w:val="00025859"/>
  </w:style>
  <w:style w:type="paragraph" w:styleId="Pieddepage">
    <w:name w:val="footer"/>
    <w:basedOn w:val="Normal"/>
    <w:link w:val="PieddepageCar"/>
    <w:uiPriority w:val="99"/>
    <w:unhideWhenUsed/>
    <w:rsid w:val="000258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33082">
      <w:bodyDiv w:val="1"/>
      <w:marLeft w:val="0"/>
      <w:marRight w:val="0"/>
      <w:marTop w:val="0"/>
      <w:marBottom w:val="0"/>
      <w:divBdr>
        <w:top w:val="none" w:sz="0" w:space="0" w:color="auto"/>
        <w:left w:val="none" w:sz="0" w:space="0" w:color="auto"/>
        <w:bottom w:val="none" w:sz="0" w:space="0" w:color="auto"/>
        <w:right w:val="none" w:sz="0" w:space="0" w:color="auto"/>
      </w:divBdr>
    </w:div>
    <w:div w:id="1039091060">
      <w:bodyDiv w:val="1"/>
      <w:marLeft w:val="0"/>
      <w:marRight w:val="0"/>
      <w:marTop w:val="0"/>
      <w:marBottom w:val="0"/>
      <w:divBdr>
        <w:top w:val="none" w:sz="0" w:space="0" w:color="auto"/>
        <w:left w:val="none" w:sz="0" w:space="0" w:color="auto"/>
        <w:bottom w:val="none" w:sz="0" w:space="0" w:color="auto"/>
        <w:right w:val="none" w:sz="0" w:space="0" w:color="auto"/>
      </w:divBdr>
    </w:div>
    <w:div w:id="1045451010">
      <w:bodyDiv w:val="1"/>
      <w:marLeft w:val="0"/>
      <w:marRight w:val="0"/>
      <w:marTop w:val="0"/>
      <w:marBottom w:val="0"/>
      <w:divBdr>
        <w:top w:val="none" w:sz="0" w:space="0" w:color="auto"/>
        <w:left w:val="none" w:sz="0" w:space="0" w:color="auto"/>
        <w:bottom w:val="none" w:sz="0" w:space="0" w:color="auto"/>
        <w:right w:val="none" w:sz="0" w:space="0" w:color="auto"/>
      </w:divBdr>
    </w:div>
    <w:div w:id="1661276549">
      <w:bodyDiv w:val="1"/>
      <w:marLeft w:val="0"/>
      <w:marRight w:val="0"/>
      <w:marTop w:val="0"/>
      <w:marBottom w:val="0"/>
      <w:divBdr>
        <w:top w:val="none" w:sz="0" w:space="0" w:color="auto"/>
        <w:left w:val="none" w:sz="0" w:space="0" w:color="auto"/>
        <w:bottom w:val="none" w:sz="0" w:space="0" w:color="auto"/>
        <w:right w:val="none" w:sz="0" w:space="0" w:color="auto"/>
      </w:divBdr>
    </w:div>
    <w:div w:id="1848130839">
      <w:bodyDiv w:val="1"/>
      <w:marLeft w:val="0"/>
      <w:marRight w:val="0"/>
      <w:marTop w:val="0"/>
      <w:marBottom w:val="0"/>
      <w:divBdr>
        <w:top w:val="none" w:sz="0" w:space="0" w:color="auto"/>
        <w:left w:val="none" w:sz="0" w:space="0" w:color="auto"/>
        <w:bottom w:val="none" w:sz="0" w:space="0" w:color="auto"/>
        <w:right w:val="none" w:sz="0" w:space="0" w:color="auto"/>
      </w:divBdr>
      <w:divsChild>
        <w:div w:id="2041542610">
          <w:marLeft w:val="0"/>
          <w:marRight w:val="0"/>
          <w:marTop w:val="0"/>
          <w:marBottom w:val="0"/>
          <w:divBdr>
            <w:top w:val="none" w:sz="0" w:space="0" w:color="auto"/>
            <w:left w:val="none" w:sz="0" w:space="0" w:color="auto"/>
            <w:bottom w:val="none" w:sz="0" w:space="0" w:color="auto"/>
            <w:right w:val="none" w:sz="0" w:space="0" w:color="auto"/>
          </w:divBdr>
          <w:divsChild>
            <w:div w:id="2132093064">
              <w:marLeft w:val="0"/>
              <w:marRight w:val="0"/>
              <w:marTop w:val="0"/>
              <w:marBottom w:val="0"/>
              <w:divBdr>
                <w:top w:val="none" w:sz="0" w:space="0" w:color="auto"/>
                <w:left w:val="none" w:sz="0" w:space="0" w:color="auto"/>
                <w:bottom w:val="none" w:sz="0" w:space="0" w:color="auto"/>
                <w:right w:val="none" w:sz="0" w:space="0" w:color="auto"/>
              </w:divBdr>
              <w:divsChild>
                <w:div w:id="11144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70CFE-BDC8-7041-860D-54B8EB85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5938</Words>
  <Characters>32663</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Anne et Pierre DARDOT</cp:lastModifiedBy>
  <cp:revision>9</cp:revision>
  <dcterms:created xsi:type="dcterms:W3CDTF">2022-02-26T13:07:00Z</dcterms:created>
  <dcterms:modified xsi:type="dcterms:W3CDTF">2022-10-24T08:58:00Z</dcterms:modified>
</cp:coreProperties>
</file>