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9E5D" w14:textId="0C34FB1F" w:rsidR="00211856" w:rsidRPr="003F7035" w:rsidRDefault="004D37B7">
      <w:pPr>
        <w:rPr>
          <w:rFonts w:ascii="Times New Roman" w:hAnsi="Times New Roman" w:cs="Times New Roman"/>
          <w:b/>
          <w:bCs/>
          <w:sz w:val="24"/>
          <w:szCs w:val="24"/>
        </w:rPr>
      </w:pPr>
      <w:r w:rsidRPr="003F7035">
        <w:rPr>
          <w:rFonts w:ascii="Times New Roman" w:hAnsi="Times New Roman" w:cs="Times New Roman"/>
          <w:sz w:val="24"/>
          <w:szCs w:val="24"/>
        </w:rPr>
        <w:t>P</w:t>
      </w:r>
      <w:r w:rsidR="00564E43">
        <w:rPr>
          <w:rFonts w:ascii="Times New Roman" w:hAnsi="Times New Roman" w:cs="Times New Roman"/>
          <w:sz w:val="24"/>
          <w:szCs w:val="24"/>
        </w:rPr>
        <w:t>ost</w:t>
      </w:r>
      <w:r w:rsidRPr="003F7035">
        <w:rPr>
          <w:rFonts w:ascii="Times New Roman" w:hAnsi="Times New Roman" w:cs="Times New Roman"/>
          <w:sz w:val="24"/>
          <w:szCs w:val="24"/>
        </w:rPr>
        <w:t>face à l’</w:t>
      </w:r>
      <w:r w:rsidR="000A2231" w:rsidRPr="003F7035">
        <w:rPr>
          <w:rFonts w:ascii="Times New Roman" w:hAnsi="Times New Roman" w:cs="Times New Roman"/>
          <w:sz w:val="24"/>
          <w:szCs w:val="24"/>
        </w:rPr>
        <w:t xml:space="preserve">édition espagnole de </w:t>
      </w:r>
      <w:r w:rsidR="000A2231" w:rsidRPr="003F7035">
        <w:rPr>
          <w:rFonts w:ascii="Times New Roman" w:hAnsi="Times New Roman" w:cs="Times New Roman"/>
          <w:b/>
          <w:bCs/>
          <w:sz w:val="24"/>
          <w:szCs w:val="24"/>
        </w:rPr>
        <w:t>La mémoire du fu</w:t>
      </w:r>
      <w:r w:rsidR="00211856" w:rsidRPr="003F7035">
        <w:rPr>
          <w:rFonts w:ascii="Times New Roman" w:hAnsi="Times New Roman" w:cs="Times New Roman"/>
          <w:b/>
          <w:bCs/>
          <w:sz w:val="24"/>
          <w:szCs w:val="24"/>
        </w:rPr>
        <w:t>tur</w:t>
      </w:r>
    </w:p>
    <w:p w14:paraId="23795180" w14:textId="77777777" w:rsidR="00211856" w:rsidRPr="003F7035" w:rsidRDefault="00211856">
      <w:pPr>
        <w:rPr>
          <w:rFonts w:ascii="Times New Roman" w:hAnsi="Times New Roman" w:cs="Times New Roman"/>
          <w:b/>
          <w:bCs/>
          <w:sz w:val="24"/>
          <w:szCs w:val="24"/>
        </w:rPr>
      </w:pPr>
    </w:p>
    <w:p w14:paraId="74F83401" w14:textId="032CA15C" w:rsidR="00211856" w:rsidRPr="003F7035" w:rsidRDefault="00211856" w:rsidP="004D37B7">
      <w:pPr>
        <w:ind w:left="1416" w:firstLine="708"/>
        <w:rPr>
          <w:rFonts w:ascii="Times New Roman" w:hAnsi="Times New Roman" w:cs="Times New Roman"/>
          <w:b/>
          <w:bCs/>
          <w:sz w:val="24"/>
          <w:szCs w:val="24"/>
        </w:rPr>
      </w:pPr>
      <w:r w:rsidRPr="003F7035">
        <w:rPr>
          <w:rFonts w:ascii="Times New Roman" w:hAnsi="Times New Roman" w:cs="Times New Roman"/>
          <w:b/>
          <w:bCs/>
          <w:sz w:val="24"/>
          <w:szCs w:val="24"/>
        </w:rPr>
        <w:t xml:space="preserve">Une </w:t>
      </w:r>
      <w:r w:rsidR="007B0EFF" w:rsidRPr="003F7035">
        <w:rPr>
          <w:rFonts w:ascii="Times New Roman" w:hAnsi="Times New Roman" w:cs="Times New Roman"/>
          <w:b/>
          <w:bCs/>
          <w:sz w:val="24"/>
          <w:szCs w:val="24"/>
        </w:rPr>
        <w:t xml:space="preserve">indécente </w:t>
      </w:r>
      <w:r w:rsidRPr="003F7035">
        <w:rPr>
          <w:rFonts w:ascii="Times New Roman" w:hAnsi="Times New Roman" w:cs="Times New Roman"/>
          <w:b/>
          <w:bCs/>
          <w:sz w:val="24"/>
          <w:szCs w:val="24"/>
        </w:rPr>
        <w:t>parodie de « processus constituant »</w:t>
      </w:r>
    </w:p>
    <w:p w14:paraId="14EFDF0A" w14:textId="77777777" w:rsidR="00211856" w:rsidRPr="003F7035" w:rsidRDefault="00211856">
      <w:pPr>
        <w:rPr>
          <w:rFonts w:ascii="Times New Roman" w:hAnsi="Times New Roman" w:cs="Times New Roman"/>
          <w:b/>
          <w:bCs/>
          <w:sz w:val="24"/>
          <w:szCs w:val="24"/>
        </w:rPr>
      </w:pPr>
    </w:p>
    <w:p w14:paraId="2C5B05DC" w14:textId="4C5875DA" w:rsidR="000A2231" w:rsidRPr="003F7035" w:rsidRDefault="000A2231"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 xml:space="preserve">Le 12 décembre 2022 restera comme un jour de honte pour la démocratie au Chili : les </w:t>
      </w:r>
      <w:r w:rsidR="001F7CAE" w:rsidRPr="003F7035">
        <w:rPr>
          <w:rFonts w:ascii="Times New Roman" w:hAnsi="Times New Roman" w:cs="Times New Roman"/>
          <w:sz w:val="24"/>
          <w:szCs w:val="24"/>
        </w:rPr>
        <w:t>tractations</w:t>
      </w:r>
      <w:r w:rsidR="00FB5926" w:rsidRPr="003F7035">
        <w:rPr>
          <w:rFonts w:ascii="Times New Roman" w:hAnsi="Times New Roman" w:cs="Times New Roman"/>
          <w:sz w:val="24"/>
          <w:szCs w:val="24"/>
        </w:rPr>
        <w:t xml:space="preserve"> laborieuses</w:t>
      </w:r>
      <w:r w:rsidRPr="003F7035">
        <w:rPr>
          <w:rFonts w:ascii="Times New Roman" w:hAnsi="Times New Roman" w:cs="Times New Roman"/>
          <w:sz w:val="24"/>
          <w:szCs w:val="24"/>
        </w:rPr>
        <w:t xml:space="preserve"> </w:t>
      </w:r>
      <w:r w:rsidR="00FB5926" w:rsidRPr="003F7035">
        <w:rPr>
          <w:rFonts w:ascii="Times New Roman" w:hAnsi="Times New Roman" w:cs="Times New Roman"/>
          <w:sz w:val="24"/>
          <w:szCs w:val="24"/>
        </w:rPr>
        <w:t>menées entre</w:t>
      </w:r>
      <w:r w:rsidRPr="003F7035">
        <w:rPr>
          <w:rFonts w:ascii="Times New Roman" w:hAnsi="Times New Roman" w:cs="Times New Roman"/>
          <w:sz w:val="24"/>
          <w:szCs w:val="24"/>
        </w:rPr>
        <w:t xml:space="preserve"> partis politique</w:t>
      </w:r>
      <w:r w:rsidR="004D37B7" w:rsidRPr="003F7035">
        <w:rPr>
          <w:rFonts w:ascii="Times New Roman" w:hAnsi="Times New Roman" w:cs="Times New Roman"/>
          <w:sz w:val="24"/>
          <w:szCs w:val="24"/>
        </w:rPr>
        <w:t>s</w:t>
      </w:r>
      <w:r w:rsidR="004833E9" w:rsidRPr="003F7035">
        <w:rPr>
          <w:rFonts w:ascii="Times New Roman" w:hAnsi="Times New Roman" w:cs="Times New Roman"/>
          <w:sz w:val="24"/>
          <w:szCs w:val="24"/>
        </w:rPr>
        <w:t xml:space="preserve"> </w:t>
      </w:r>
      <w:r w:rsidRPr="003F7035">
        <w:rPr>
          <w:rFonts w:ascii="Times New Roman" w:hAnsi="Times New Roman" w:cs="Times New Roman"/>
          <w:sz w:val="24"/>
          <w:szCs w:val="24"/>
        </w:rPr>
        <w:t>accouchèrent ce jour-là d’un « accord pour l</w:t>
      </w:r>
      <w:r w:rsidR="007B0EFF" w:rsidRPr="003F7035">
        <w:rPr>
          <w:rFonts w:ascii="Times New Roman" w:hAnsi="Times New Roman" w:cs="Times New Roman"/>
          <w:sz w:val="24"/>
          <w:szCs w:val="24"/>
        </w:rPr>
        <w:t>e Chili</w:t>
      </w:r>
      <w:r w:rsidRPr="003F7035">
        <w:rPr>
          <w:rFonts w:ascii="Times New Roman" w:hAnsi="Times New Roman" w:cs="Times New Roman"/>
          <w:sz w:val="24"/>
          <w:szCs w:val="24"/>
        </w:rPr>
        <w:t> » conclu dans le dos des citoyens</w:t>
      </w:r>
      <w:r w:rsidR="004833E9" w:rsidRPr="003F7035">
        <w:rPr>
          <w:rFonts w:ascii="Times New Roman" w:hAnsi="Times New Roman" w:cs="Times New Roman"/>
          <w:sz w:val="24"/>
          <w:szCs w:val="24"/>
        </w:rPr>
        <w:t xml:space="preserve"> et sans aucune consultation. </w:t>
      </w:r>
      <w:r w:rsidR="004D37B7" w:rsidRPr="003F7035">
        <w:rPr>
          <w:rFonts w:ascii="Times New Roman" w:hAnsi="Times New Roman" w:cs="Times New Roman"/>
          <w:sz w:val="24"/>
          <w:szCs w:val="24"/>
        </w:rPr>
        <w:t>L</w:t>
      </w:r>
      <w:r w:rsidR="004833E9" w:rsidRPr="003F7035">
        <w:rPr>
          <w:rFonts w:ascii="Times New Roman" w:hAnsi="Times New Roman" w:cs="Times New Roman"/>
          <w:sz w:val="24"/>
          <w:szCs w:val="24"/>
        </w:rPr>
        <w:t xml:space="preserve">’Accord </w:t>
      </w:r>
      <w:r w:rsidR="007B0EFF" w:rsidRPr="003F7035">
        <w:rPr>
          <w:rFonts w:ascii="Times New Roman" w:hAnsi="Times New Roman" w:cs="Times New Roman"/>
          <w:sz w:val="24"/>
          <w:szCs w:val="24"/>
        </w:rPr>
        <w:t>« </w:t>
      </w:r>
      <w:r w:rsidR="004833E9" w:rsidRPr="003F7035">
        <w:rPr>
          <w:rFonts w:ascii="Times New Roman" w:hAnsi="Times New Roman" w:cs="Times New Roman"/>
          <w:sz w:val="24"/>
          <w:szCs w:val="24"/>
        </w:rPr>
        <w:t xml:space="preserve">pour la paix sociale </w:t>
      </w:r>
      <w:r w:rsidR="00B1665F" w:rsidRPr="003F7035">
        <w:rPr>
          <w:rFonts w:ascii="Times New Roman" w:hAnsi="Times New Roman" w:cs="Times New Roman"/>
          <w:sz w:val="24"/>
          <w:szCs w:val="24"/>
        </w:rPr>
        <w:t xml:space="preserve">et la nouvelle </w:t>
      </w:r>
      <w:r w:rsidR="00211856" w:rsidRPr="003F7035">
        <w:rPr>
          <w:rFonts w:ascii="Times New Roman" w:hAnsi="Times New Roman" w:cs="Times New Roman"/>
          <w:sz w:val="24"/>
          <w:szCs w:val="24"/>
        </w:rPr>
        <w:t>C</w:t>
      </w:r>
      <w:r w:rsidR="00B1665F" w:rsidRPr="003F7035">
        <w:rPr>
          <w:rFonts w:ascii="Times New Roman" w:hAnsi="Times New Roman" w:cs="Times New Roman"/>
          <w:sz w:val="24"/>
          <w:szCs w:val="24"/>
        </w:rPr>
        <w:t>onstitution</w:t>
      </w:r>
      <w:r w:rsidR="007B0EFF" w:rsidRPr="003F7035">
        <w:rPr>
          <w:rFonts w:ascii="Times New Roman" w:hAnsi="Times New Roman" w:cs="Times New Roman"/>
          <w:sz w:val="24"/>
          <w:szCs w:val="24"/>
        </w:rPr>
        <w:t> »</w:t>
      </w:r>
      <w:r w:rsidR="00B1665F" w:rsidRPr="003F7035">
        <w:rPr>
          <w:rFonts w:ascii="Times New Roman" w:hAnsi="Times New Roman" w:cs="Times New Roman"/>
          <w:sz w:val="24"/>
          <w:szCs w:val="24"/>
        </w:rPr>
        <w:t xml:space="preserve"> </w:t>
      </w:r>
      <w:r w:rsidR="004833E9" w:rsidRPr="003F7035">
        <w:rPr>
          <w:rFonts w:ascii="Times New Roman" w:hAnsi="Times New Roman" w:cs="Times New Roman"/>
          <w:sz w:val="24"/>
          <w:szCs w:val="24"/>
        </w:rPr>
        <w:t>du 15 novembre 2019, qui fix</w:t>
      </w:r>
      <w:r w:rsidR="00B1665F" w:rsidRPr="003F7035">
        <w:rPr>
          <w:rFonts w:ascii="Times New Roman" w:hAnsi="Times New Roman" w:cs="Times New Roman"/>
          <w:sz w:val="24"/>
          <w:szCs w:val="24"/>
        </w:rPr>
        <w:t xml:space="preserve">a le cadre du </w:t>
      </w:r>
      <w:r w:rsidR="0095134A" w:rsidRPr="003F7035">
        <w:rPr>
          <w:rFonts w:ascii="Times New Roman" w:hAnsi="Times New Roman" w:cs="Times New Roman"/>
          <w:sz w:val="24"/>
          <w:szCs w:val="24"/>
        </w:rPr>
        <w:t xml:space="preserve">premier </w:t>
      </w:r>
      <w:r w:rsidR="004833E9" w:rsidRPr="003F7035">
        <w:rPr>
          <w:rFonts w:ascii="Times New Roman" w:hAnsi="Times New Roman" w:cs="Times New Roman"/>
          <w:sz w:val="24"/>
          <w:szCs w:val="24"/>
        </w:rPr>
        <w:t xml:space="preserve">processus constituant, </w:t>
      </w:r>
      <w:r w:rsidR="00FB5926" w:rsidRPr="003F7035">
        <w:rPr>
          <w:rFonts w:ascii="Times New Roman" w:hAnsi="Times New Roman" w:cs="Times New Roman"/>
          <w:sz w:val="24"/>
          <w:szCs w:val="24"/>
        </w:rPr>
        <w:t>avait</w:t>
      </w:r>
      <w:r w:rsidR="004833E9" w:rsidRPr="003F7035">
        <w:rPr>
          <w:rFonts w:ascii="Times New Roman" w:hAnsi="Times New Roman" w:cs="Times New Roman"/>
          <w:sz w:val="24"/>
          <w:szCs w:val="24"/>
        </w:rPr>
        <w:t xml:space="preserve"> au moins</w:t>
      </w:r>
      <w:r w:rsidR="00FB5926" w:rsidRPr="003F7035">
        <w:rPr>
          <w:rFonts w:ascii="Times New Roman" w:hAnsi="Times New Roman" w:cs="Times New Roman"/>
          <w:sz w:val="24"/>
          <w:szCs w:val="24"/>
        </w:rPr>
        <w:t xml:space="preserve"> </w:t>
      </w:r>
      <w:r w:rsidR="004F012F" w:rsidRPr="003F7035">
        <w:rPr>
          <w:rFonts w:ascii="Times New Roman" w:hAnsi="Times New Roman" w:cs="Times New Roman"/>
          <w:sz w:val="24"/>
          <w:szCs w:val="24"/>
        </w:rPr>
        <w:t xml:space="preserve">été </w:t>
      </w:r>
      <w:r w:rsidR="00FB5926" w:rsidRPr="003F7035">
        <w:rPr>
          <w:rFonts w:ascii="Times New Roman" w:hAnsi="Times New Roman" w:cs="Times New Roman"/>
          <w:sz w:val="24"/>
          <w:szCs w:val="24"/>
        </w:rPr>
        <w:t>conclu</w:t>
      </w:r>
      <w:r w:rsidR="004833E9" w:rsidRPr="003F7035">
        <w:rPr>
          <w:rFonts w:ascii="Times New Roman" w:hAnsi="Times New Roman" w:cs="Times New Roman"/>
          <w:sz w:val="24"/>
          <w:szCs w:val="24"/>
        </w:rPr>
        <w:t xml:space="preserve"> sous la pression de la révolte populaire</w:t>
      </w:r>
      <w:r w:rsidR="00B1665F" w:rsidRPr="003F7035">
        <w:rPr>
          <w:rFonts w:ascii="Times New Roman" w:hAnsi="Times New Roman" w:cs="Times New Roman"/>
          <w:sz w:val="24"/>
          <w:szCs w:val="24"/>
        </w:rPr>
        <w:t>,</w:t>
      </w:r>
      <w:r w:rsidR="004833E9" w:rsidRPr="003F7035">
        <w:rPr>
          <w:rFonts w:ascii="Times New Roman" w:hAnsi="Times New Roman" w:cs="Times New Roman"/>
          <w:sz w:val="24"/>
          <w:szCs w:val="24"/>
        </w:rPr>
        <w:t xml:space="preserve"> quand bien même </w:t>
      </w:r>
      <w:r w:rsidR="00B1665F" w:rsidRPr="003F7035">
        <w:rPr>
          <w:rFonts w:ascii="Times New Roman" w:hAnsi="Times New Roman" w:cs="Times New Roman"/>
          <w:sz w:val="24"/>
          <w:szCs w:val="24"/>
        </w:rPr>
        <w:t xml:space="preserve">il avait pour objectif de dévoyer le mouvement dans l’ornière institutionnelle d’une </w:t>
      </w:r>
      <w:r w:rsidR="0095134A" w:rsidRPr="003F7035">
        <w:rPr>
          <w:rFonts w:ascii="Times New Roman" w:hAnsi="Times New Roman" w:cs="Times New Roman"/>
          <w:sz w:val="24"/>
          <w:szCs w:val="24"/>
        </w:rPr>
        <w:t>Constituante subordonnée aux pouvoirs constitués</w:t>
      </w:r>
      <w:r w:rsidR="00B1665F" w:rsidRPr="003F7035">
        <w:rPr>
          <w:rFonts w:ascii="Times New Roman" w:hAnsi="Times New Roman" w:cs="Times New Roman"/>
          <w:sz w:val="24"/>
          <w:szCs w:val="24"/>
        </w:rPr>
        <w:t>. Rien de tel pour l’Accord</w:t>
      </w:r>
      <w:r w:rsidR="007B0EFF" w:rsidRPr="003F7035">
        <w:rPr>
          <w:rFonts w:ascii="Times New Roman" w:hAnsi="Times New Roman" w:cs="Times New Roman"/>
          <w:sz w:val="24"/>
          <w:szCs w:val="24"/>
        </w:rPr>
        <w:t xml:space="preserve"> </w:t>
      </w:r>
      <w:r w:rsidR="00B1665F" w:rsidRPr="003F7035">
        <w:rPr>
          <w:rFonts w:ascii="Times New Roman" w:hAnsi="Times New Roman" w:cs="Times New Roman"/>
          <w:sz w:val="24"/>
          <w:szCs w:val="24"/>
        </w:rPr>
        <w:t xml:space="preserve">du 12 décembre 2022. </w:t>
      </w:r>
      <w:r w:rsidR="004D37B7" w:rsidRPr="003F7035">
        <w:rPr>
          <w:rFonts w:ascii="Times New Roman" w:hAnsi="Times New Roman" w:cs="Times New Roman"/>
          <w:sz w:val="24"/>
          <w:szCs w:val="24"/>
        </w:rPr>
        <w:t>En</w:t>
      </w:r>
      <w:r w:rsidR="00F7743D" w:rsidRPr="003F7035">
        <w:rPr>
          <w:rFonts w:ascii="Times New Roman" w:hAnsi="Times New Roman" w:cs="Times New Roman"/>
          <w:sz w:val="24"/>
          <w:szCs w:val="24"/>
        </w:rPr>
        <w:t xml:space="preserve"> recul par rapport </w:t>
      </w:r>
      <w:r w:rsidR="00D85F74" w:rsidRPr="003F7035">
        <w:rPr>
          <w:rFonts w:ascii="Times New Roman" w:hAnsi="Times New Roman" w:cs="Times New Roman"/>
          <w:sz w:val="24"/>
          <w:szCs w:val="24"/>
        </w:rPr>
        <w:t xml:space="preserve">à celui </w:t>
      </w:r>
      <w:r w:rsidR="00F7743D" w:rsidRPr="003F7035">
        <w:rPr>
          <w:rFonts w:ascii="Times New Roman" w:hAnsi="Times New Roman" w:cs="Times New Roman"/>
          <w:sz w:val="24"/>
          <w:szCs w:val="24"/>
        </w:rPr>
        <w:t>du 15 novembre</w:t>
      </w:r>
      <w:r w:rsidR="004D37B7" w:rsidRPr="003F7035">
        <w:rPr>
          <w:rFonts w:ascii="Times New Roman" w:hAnsi="Times New Roman" w:cs="Times New Roman"/>
          <w:sz w:val="24"/>
          <w:szCs w:val="24"/>
        </w:rPr>
        <w:t xml:space="preserve">, il constitue </w:t>
      </w:r>
      <w:r w:rsidR="00F7743D" w:rsidRPr="003F7035">
        <w:rPr>
          <w:rFonts w:ascii="Times New Roman" w:hAnsi="Times New Roman" w:cs="Times New Roman"/>
          <w:sz w:val="24"/>
          <w:szCs w:val="24"/>
        </w:rPr>
        <w:t>un</w:t>
      </w:r>
      <w:r w:rsidR="00B1665F" w:rsidRPr="003F7035">
        <w:rPr>
          <w:rFonts w:ascii="Times New Roman" w:hAnsi="Times New Roman" w:cs="Times New Roman"/>
          <w:sz w:val="24"/>
          <w:szCs w:val="24"/>
        </w:rPr>
        <w:t>e véritable régression anti-démocratiqu</w:t>
      </w:r>
      <w:r w:rsidR="00F7743D" w:rsidRPr="003F7035">
        <w:rPr>
          <w:rFonts w:ascii="Times New Roman" w:hAnsi="Times New Roman" w:cs="Times New Roman"/>
          <w:sz w:val="24"/>
          <w:szCs w:val="24"/>
        </w:rPr>
        <w:t>e</w:t>
      </w:r>
      <w:r w:rsidR="00BD757A" w:rsidRPr="003F7035">
        <w:rPr>
          <w:rFonts w:ascii="Times New Roman" w:hAnsi="Times New Roman" w:cs="Times New Roman"/>
          <w:sz w:val="24"/>
          <w:szCs w:val="24"/>
        </w:rPr>
        <w:t xml:space="preserve"> </w:t>
      </w:r>
      <w:r w:rsidR="004D37B7" w:rsidRPr="003F7035">
        <w:rPr>
          <w:rFonts w:ascii="Times New Roman" w:hAnsi="Times New Roman" w:cs="Times New Roman"/>
          <w:sz w:val="24"/>
          <w:szCs w:val="24"/>
        </w:rPr>
        <w:t>par rapport</w:t>
      </w:r>
      <w:r w:rsidR="00F7743D" w:rsidRPr="003F7035">
        <w:rPr>
          <w:rFonts w:ascii="Times New Roman" w:hAnsi="Times New Roman" w:cs="Times New Roman"/>
          <w:sz w:val="24"/>
          <w:szCs w:val="24"/>
        </w:rPr>
        <w:t xml:space="preserve"> à </w:t>
      </w:r>
      <w:r w:rsidR="00BD757A" w:rsidRPr="003F7035">
        <w:rPr>
          <w:rFonts w:ascii="Times New Roman" w:hAnsi="Times New Roman" w:cs="Times New Roman"/>
          <w:sz w:val="24"/>
          <w:szCs w:val="24"/>
        </w:rPr>
        <w:t xml:space="preserve">la </w:t>
      </w:r>
      <w:r w:rsidR="002A562D" w:rsidRPr="003F7035">
        <w:rPr>
          <w:rFonts w:ascii="Times New Roman" w:hAnsi="Times New Roman" w:cs="Times New Roman"/>
          <w:sz w:val="24"/>
          <w:szCs w:val="24"/>
        </w:rPr>
        <w:t>P</w:t>
      </w:r>
      <w:r w:rsidR="00BD757A" w:rsidRPr="003F7035">
        <w:rPr>
          <w:rFonts w:ascii="Times New Roman" w:hAnsi="Times New Roman" w:cs="Times New Roman"/>
          <w:sz w:val="24"/>
          <w:szCs w:val="24"/>
        </w:rPr>
        <w:t xml:space="preserve">roposition </w:t>
      </w:r>
      <w:r w:rsidR="002F2FE6" w:rsidRPr="003F7035">
        <w:rPr>
          <w:rFonts w:ascii="Times New Roman" w:hAnsi="Times New Roman" w:cs="Times New Roman"/>
          <w:sz w:val="24"/>
          <w:szCs w:val="24"/>
        </w:rPr>
        <w:t xml:space="preserve">d’une </w:t>
      </w:r>
      <w:r w:rsidR="002A562D" w:rsidRPr="003F7035">
        <w:rPr>
          <w:rFonts w:ascii="Times New Roman" w:hAnsi="Times New Roman" w:cs="Times New Roman"/>
          <w:sz w:val="24"/>
          <w:szCs w:val="24"/>
        </w:rPr>
        <w:t>N</w:t>
      </w:r>
      <w:r w:rsidR="002F2FE6" w:rsidRPr="003F7035">
        <w:rPr>
          <w:rFonts w:ascii="Times New Roman" w:hAnsi="Times New Roman" w:cs="Times New Roman"/>
          <w:sz w:val="24"/>
          <w:szCs w:val="24"/>
        </w:rPr>
        <w:t>ouvelle Constitution (PNC)</w:t>
      </w:r>
      <w:r w:rsidR="00BD757A" w:rsidRPr="003F7035">
        <w:rPr>
          <w:rFonts w:ascii="Times New Roman" w:hAnsi="Times New Roman" w:cs="Times New Roman"/>
          <w:sz w:val="24"/>
          <w:szCs w:val="24"/>
        </w:rPr>
        <w:t xml:space="preserve"> élaborée par la Convention constitutionnelle (4 juillet 2021-4 juillet 2022)</w:t>
      </w:r>
      <w:r w:rsidR="00B1665F" w:rsidRPr="003F7035">
        <w:rPr>
          <w:rFonts w:ascii="Times New Roman" w:hAnsi="Times New Roman" w:cs="Times New Roman"/>
          <w:sz w:val="24"/>
          <w:szCs w:val="24"/>
        </w:rPr>
        <w:t xml:space="preserve">. </w:t>
      </w:r>
    </w:p>
    <w:p w14:paraId="4F5D1819" w14:textId="561D6C09" w:rsidR="00E52E27" w:rsidRPr="003F7035" w:rsidRDefault="00E52E27" w:rsidP="004833E9">
      <w:pPr>
        <w:spacing w:line="360" w:lineRule="auto"/>
        <w:jc w:val="both"/>
        <w:rPr>
          <w:rFonts w:ascii="Times New Roman" w:hAnsi="Times New Roman" w:cs="Times New Roman"/>
          <w:b/>
          <w:bCs/>
          <w:sz w:val="24"/>
          <w:szCs w:val="24"/>
        </w:rPr>
      </w:pPr>
      <w:r w:rsidRPr="003F7035">
        <w:rPr>
          <w:rFonts w:ascii="Times New Roman" w:hAnsi="Times New Roman" w:cs="Times New Roman"/>
          <w:b/>
          <w:bCs/>
          <w:sz w:val="24"/>
          <w:szCs w:val="24"/>
        </w:rPr>
        <w:t xml:space="preserve">La </w:t>
      </w:r>
      <w:r w:rsidR="007C227C" w:rsidRPr="003F7035">
        <w:rPr>
          <w:rFonts w:ascii="Times New Roman" w:hAnsi="Times New Roman" w:cs="Times New Roman"/>
          <w:b/>
          <w:bCs/>
          <w:sz w:val="24"/>
          <w:szCs w:val="24"/>
        </w:rPr>
        <w:t>« </w:t>
      </w:r>
      <w:r w:rsidRPr="003F7035">
        <w:rPr>
          <w:rFonts w:ascii="Times New Roman" w:hAnsi="Times New Roman" w:cs="Times New Roman"/>
          <w:b/>
          <w:bCs/>
          <w:sz w:val="24"/>
          <w:szCs w:val="24"/>
        </w:rPr>
        <w:t>République</w:t>
      </w:r>
      <w:r w:rsidR="007C227C" w:rsidRPr="003F7035">
        <w:rPr>
          <w:rFonts w:ascii="Times New Roman" w:hAnsi="Times New Roman" w:cs="Times New Roman"/>
          <w:b/>
          <w:bCs/>
          <w:sz w:val="24"/>
          <w:szCs w:val="24"/>
        </w:rPr>
        <w:t> »</w:t>
      </w:r>
      <w:r w:rsidRPr="003F7035">
        <w:rPr>
          <w:rFonts w:ascii="Times New Roman" w:hAnsi="Times New Roman" w:cs="Times New Roman"/>
          <w:b/>
          <w:bCs/>
          <w:sz w:val="24"/>
          <w:szCs w:val="24"/>
        </w:rPr>
        <w:t xml:space="preserve"> au-dessus du peuple</w:t>
      </w:r>
    </w:p>
    <w:p w14:paraId="4DEFBECC" w14:textId="1FF63C7A" w:rsidR="007B0EFF" w:rsidRPr="003F7035" w:rsidRDefault="00F7743D"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 xml:space="preserve">La couleur est d’emblée annoncée : cet accord vise à définir un </w:t>
      </w:r>
      <w:r w:rsidR="00BF4D89" w:rsidRPr="003F7035">
        <w:rPr>
          <w:rFonts w:ascii="Times New Roman" w:hAnsi="Times New Roman" w:cs="Times New Roman"/>
          <w:sz w:val="24"/>
          <w:szCs w:val="24"/>
        </w:rPr>
        <w:t>« consensus</w:t>
      </w:r>
      <w:r w:rsidRPr="003F7035">
        <w:rPr>
          <w:rFonts w:ascii="Times New Roman" w:hAnsi="Times New Roman" w:cs="Times New Roman"/>
          <w:sz w:val="24"/>
          <w:szCs w:val="24"/>
        </w:rPr>
        <w:t xml:space="preserve"> minim</w:t>
      </w:r>
      <w:r w:rsidR="00BF4D89" w:rsidRPr="003F7035">
        <w:rPr>
          <w:rFonts w:ascii="Times New Roman" w:hAnsi="Times New Roman" w:cs="Times New Roman"/>
          <w:sz w:val="24"/>
          <w:szCs w:val="24"/>
        </w:rPr>
        <w:t>um »</w:t>
      </w:r>
      <w:r w:rsidRPr="003F7035">
        <w:rPr>
          <w:rFonts w:ascii="Times New Roman" w:hAnsi="Times New Roman" w:cs="Times New Roman"/>
          <w:sz w:val="24"/>
          <w:szCs w:val="24"/>
        </w:rPr>
        <w:t xml:space="preserve"> permettant d’aboutir à </w:t>
      </w:r>
      <w:r w:rsidR="00BF4D89" w:rsidRPr="003F7035">
        <w:rPr>
          <w:rFonts w:ascii="Times New Roman" w:hAnsi="Times New Roman" w:cs="Times New Roman"/>
          <w:sz w:val="24"/>
          <w:szCs w:val="24"/>
        </w:rPr>
        <w:t xml:space="preserve">ce qui est présenté </w:t>
      </w:r>
      <w:r w:rsidR="00AD4E8C" w:rsidRPr="003F7035">
        <w:rPr>
          <w:rFonts w:ascii="Times New Roman" w:hAnsi="Times New Roman" w:cs="Times New Roman"/>
          <w:sz w:val="24"/>
          <w:szCs w:val="24"/>
        </w:rPr>
        <w:t xml:space="preserve">par deux fois </w:t>
      </w:r>
      <w:r w:rsidR="00BF4D89" w:rsidRPr="003F7035">
        <w:rPr>
          <w:rFonts w:ascii="Times New Roman" w:hAnsi="Times New Roman" w:cs="Times New Roman"/>
          <w:sz w:val="24"/>
          <w:szCs w:val="24"/>
        </w:rPr>
        <w:t xml:space="preserve">comme un « projet de </w:t>
      </w:r>
      <w:r w:rsidR="00BF4D89" w:rsidRPr="003F7035">
        <w:rPr>
          <w:rFonts w:ascii="Times New Roman" w:hAnsi="Times New Roman" w:cs="Times New Roman"/>
          <w:i/>
          <w:iCs/>
          <w:sz w:val="24"/>
          <w:szCs w:val="24"/>
        </w:rPr>
        <w:t>réforme</w:t>
      </w:r>
      <w:r w:rsidR="00BF4D89" w:rsidRPr="003F7035">
        <w:rPr>
          <w:rFonts w:ascii="Times New Roman" w:hAnsi="Times New Roman" w:cs="Times New Roman"/>
          <w:sz w:val="24"/>
          <w:szCs w:val="24"/>
        </w:rPr>
        <w:t xml:space="preserve"> constitutionnelle »</w:t>
      </w:r>
      <w:r w:rsidR="002F2FE6" w:rsidRPr="003F7035">
        <w:rPr>
          <w:rFonts w:ascii="Times New Roman" w:hAnsi="Times New Roman" w:cs="Times New Roman"/>
          <w:sz w:val="24"/>
          <w:szCs w:val="24"/>
        </w:rPr>
        <w:t xml:space="preserve">. </w:t>
      </w:r>
      <w:r w:rsidR="00BF4D89" w:rsidRPr="003F7035">
        <w:rPr>
          <w:rFonts w:ascii="Times New Roman" w:hAnsi="Times New Roman" w:cs="Times New Roman"/>
          <w:sz w:val="24"/>
          <w:szCs w:val="24"/>
        </w:rPr>
        <w:t xml:space="preserve">Les douze points énumérés par la suite </w:t>
      </w:r>
      <w:r w:rsidR="00517BF5" w:rsidRPr="003F7035">
        <w:rPr>
          <w:rFonts w:ascii="Times New Roman" w:hAnsi="Times New Roman" w:cs="Times New Roman"/>
          <w:sz w:val="24"/>
          <w:szCs w:val="24"/>
        </w:rPr>
        <w:t xml:space="preserve">sous le titre « Bases constitutionnelles » </w:t>
      </w:r>
      <w:r w:rsidR="00BF4D89" w:rsidRPr="003F7035">
        <w:rPr>
          <w:rFonts w:ascii="Times New Roman" w:hAnsi="Times New Roman" w:cs="Times New Roman"/>
          <w:sz w:val="24"/>
          <w:szCs w:val="24"/>
        </w:rPr>
        <w:t>emprunte</w:t>
      </w:r>
      <w:r w:rsidR="004F012F" w:rsidRPr="003F7035">
        <w:rPr>
          <w:rFonts w:ascii="Times New Roman" w:hAnsi="Times New Roman" w:cs="Times New Roman"/>
          <w:sz w:val="24"/>
          <w:szCs w:val="24"/>
        </w:rPr>
        <w:t>nt formell</w:t>
      </w:r>
      <w:r w:rsidR="00BF4D89" w:rsidRPr="003F7035">
        <w:rPr>
          <w:rFonts w:ascii="Times New Roman" w:hAnsi="Times New Roman" w:cs="Times New Roman"/>
          <w:sz w:val="24"/>
          <w:szCs w:val="24"/>
        </w:rPr>
        <w:t>ement à certaines formules de la proposition constitutionnelle tout en les vidant consciencieusement et méthodiquement de leur contenu. Qu’on en juge par quelques exemples.</w:t>
      </w:r>
      <w:r w:rsidR="00771299" w:rsidRPr="003F7035">
        <w:rPr>
          <w:rFonts w:ascii="Times New Roman" w:hAnsi="Times New Roman" w:cs="Times New Roman"/>
          <w:sz w:val="24"/>
          <w:szCs w:val="24"/>
        </w:rPr>
        <w:t xml:space="preserve"> Prenons les premiers points de l’Accord du 12 décembre. Le Chili est défini au point 1 comme « une République démocratique, dont la souveraineté réside dans le peuple ». Quel sens donner à ce « dont » ? La souveraineté </w:t>
      </w:r>
      <w:r w:rsidR="00865275" w:rsidRPr="003F7035">
        <w:rPr>
          <w:rFonts w:ascii="Times New Roman" w:hAnsi="Times New Roman" w:cs="Times New Roman"/>
          <w:sz w:val="24"/>
          <w:szCs w:val="24"/>
        </w:rPr>
        <w:t>« </w:t>
      </w:r>
      <w:r w:rsidR="00771299" w:rsidRPr="003F7035">
        <w:rPr>
          <w:rFonts w:ascii="Times New Roman" w:hAnsi="Times New Roman" w:cs="Times New Roman"/>
          <w:sz w:val="24"/>
          <w:szCs w:val="24"/>
        </w:rPr>
        <w:t>est</w:t>
      </w:r>
      <w:r w:rsidR="00865275" w:rsidRPr="003F7035">
        <w:rPr>
          <w:rFonts w:ascii="Times New Roman" w:hAnsi="Times New Roman" w:cs="Times New Roman"/>
          <w:sz w:val="24"/>
          <w:szCs w:val="24"/>
        </w:rPr>
        <w:t> » celle</w:t>
      </w:r>
      <w:r w:rsidR="00967828" w:rsidRPr="003F7035">
        <w:rPr>
          <w:rFonts w:ascii="Times New Roman" w:hAnsi="Times New Roman" w:cs="Times New Roman"/>
          <w:sz w:val="24"/>
          <w:szCs w:val="24"/>
        </w:rPr>
        <w:t xml:space="preserve"> de la République </w:t>
      </w:r>
      <w:r w:rsidR="00150DFA" w:rsidRPr="003F7035">
        <w:rPr>
          <w:rFonts w:ascii="Times New Roman" w:hAnsi="Times New Roman" w:cs="Times New Roman"/>
          <w:sz w:val="24"/>
          <w:szCs w:val="24"/>
        </w:rPr>
        <w:t xml:space="preserve">démocratique, </w:t>
      </w:r>
      <w:r w:rsidR="00771299" w:rsidRPr="003F7035">
        <w:rPr>
          <w:rFonts w:ascii="Times New Roman" w:hAnsi="Times New Roman" w:cs="Times New Roman"/>
          <w:sz w:val="24"/>
          <w:szCs w:val="24"/>
        </w:rPr>
        <w:t xml:space="preserve">mais elle </w:t>
      </w:r>
      <w:r w:rsidR="00865275" w:rsidRPr="003F7035">
        <w:rPr>
          <w:rFonts w:ascii="Times New Roman" w:hAnsi="Times New Roman" w:cs="Times New Roman"/>
          <w:sz w:val="24"/>
          <w:szCs w:val="24"/>
        </w:rPr>
        <w:t>« </w:t>
      </w:r>
      <w:r w:rsidR="00771299" w:rsidRPr="003F7035">
        <w:rPr>
          <w:rFonts w:ascii="Times New Roman" w:hAnsi="Times New Roman" w:cs="Times New Roman"/>
          <w:sz w:val="24"/>
          <w:szCs w:val="24"/>
        </w:rPr>
        <w:t>réside dans</w:t>
      </w:r>
      <w:r w:rsidR="00865275" w:rsidRPr="003F7035">
        <w:rPr>
          <w:rFonts w:ascii="Times New Roman" w:hAnsi="Times New Roman" w:cs="Times New Roman"/>
          <w:sz w:val="24"/>
          <w:szCs w:val="24"/>
        </w:rPr>
        <w:t> »</w:t>
      </w:r>
      <w:r w:rsidR="00771299" w:rsidRPr="003F7035">
        <w:rPr>
          <w:rFonts w:ascii="Times New Roman" w:hAnsi="Times New Roman" w:cs="Times New Roman"/>
          <w:sz w:val="24"/>
          <w:szCs w:val="24"/>
        </w:rPr>
        <w:t xml:space="preserve"> le peuple</w:t>
      </w:r>
      <w:r w:rsidR="009C50D2" w:rsidRPr="003F7035">
        <w:rPr>
          <w:rFonts w:ascii="Times New Roman" w:hAnsi="Times New Roman" w:cs="Times New Roman"/>
          <w:sz w:val="24"/>
          <w:szCs w:val="24"/>
        </w:rPr>
        <w:t xml:space="preserve">. Comment comprendre ce galimatias ? </w:t>
      </w:r>
      <w:r w:rsidR="00150DFA" w:rsidRPr="003F7035">
        <w:rPr>
          <w:rFonts w:ascii="Times New Roman" w:hAnsi="Times New Roman" w:cs="Times New Roman"/>
          <w:sz w:val="24"/>
          <w:szCs w:val="24"/>
        </w:rPr>
        <w:t xml:space="preserve">La souveraineté </w:t>
      </w:r>
      <w:r w:rsidR="00517BF5" w:rsidRPr="003F7035">
        <w:rPr>
          <w:rFonts w:ascii="Times New Roman" w:hAnsi="Times New Roman" w:cs="Times New Roman"/>
          <w:sz w:val="24"/>
          <w:szCs w:val="24"/>
        </w:rPr>
        <w:t xml:space="preserve">qui réside dans le peuple </w:t>
      </w:r>
      <w:r w:rsidR="00150DFA" w:rsidRPr="003F7035">
        <w:rPr>
          <w:rFonts w:ascii="Times New Roman" w:hAnsi="Times New Roman" w:cs="Times New Roman"/>
          <w:sz w:val="24"/>
          <w:szCs w:val="24"/>
        </w:rPr>
        <w:t xml:space="preserve">n’est-elle pas celle du peuple ? </w:t>
      </w:r>
      <w:r w:rsidR="00865275" w:rsidRPr="003F7035">
        <w:rPr>
          <w:rFonts w:ascii="Times New Roman" w:hAnsi="Times New Roman" w:cs="Times New Roman"/>
          <w:sz w:val="24"/>
          <w:szCs w:val="24"/>
        </w:rPr>
        <w:t xml:space="preserve">Le peuple n’est-il donc point le sujet de la souveraineté ? </w:t>
      </w:r>
      <w:r w:rsidR="00150DFA" w:rsidRPr="003F7035">
        <w:rPr>
          <w:rFonts w:ascii="Times New Roman" w:hAnsi="Times New Roman" w:cs="Times New Roman"/>
          <w:sz w:val="24"/>
          <w:szCs w:val="24"/>
        </w:rPr>
        <w:t xml:space="preserve">Dès lors que la république est « démocratique », c’est qu’elle se confond avec le « pouvoir du peuple ». Pourquoi donc ajouter que la souveraineté de cette forme de République « réside dans le peuple » ? </w:t>
      </w:r>
      <w:r w:rsidR="00771299" w:rsidRPr="003F7035">
        <w:rPr>
          <w:rFonts w:ascii="Times New Roman" w:hAnsi="Times New Roman" w:cs="Times New Roman"/>
          <w:sz w:val="24"/>
          <w:szCs w:val="24"/>
        </w:rPr>
        <w:t xml:space="preserve">Le projet de la Constituante disait sobrement </w:t>
      </w:r>
      <w:r w:rsidR="009C50D2" w:rsidRPr="003F7035">
        <w:rPr>
          <w:rFonts w:ascii="Times New Roman" w:hAnsi="Times New Roman" w:cs="Times New Roman"/>
          <w:sz w:val="24"/>
          <w:szCs w:val="24"/>
        </w:rPr>
        <w:t xml:space="preserve">que </w:t>
      </w:r>
      <w:r w:rsidR="00967828" w:rsidRPr="003F7035">
        <w:rPr>
          <w:rFonts w:ascii="Times New Roman" w:hAnsi="Times New Roman" w:cs="Times New Roman"/>
          <w:sz w:val="24"/>
          <w:szCs w:val="24"/>
        </w:rPr>
        <w:t xml:space="preserve">la souveraineté </w:t>
      </w:r>
      <w:r w:rsidR="009C50D2" w:rsidRPr="003F7035">
        <w:rPr>
          <w:rFonts w:ascii="Times New Roman" w:hAnsi="Times New Roman" w:cs="Times New Roman"/>
          <w:sz w:val="24"/>
          <w:szCs w:val="24"/>
        </w:rPr>
        <w:t>« </w:t>
      </w:r>
      <w:r w:rsidR="00967828" w:rsidRPr="003F7035">
        <w:rPr>
          <w:rFonts w:ascii="Times New Roman" w:hAnsi="Times New Roman" w:cs="Times New Roman"/>
          <w:sz w:val="24"/>
          <w:szCs w:val="24"/>
        </w:rPr>
        <w:t>réside dans le peuple du Chili</w:t>
      </w:r>
      <w:r w:rsidR="009C50D2" w:rsidRPr="003F7035">
        <w:rPr>
          <w:rFonts w:ascii="Times New Roman" w:hAnsi="Times New Roman" w:cs="Times New Roman"/>
          <w:sz w:val="24"/>
          <w:szCs w:val="24"/>
        </w:rPr>
        <w:t xml:space="preserve"> » </w:t>
      </w:r>
      <w:r w:rsidR="00967828" w:rsidRPr="003F7035">
        <w:rPr>
          <w:rFonts w:ascii="Times New Roman" w:hAnsi="Times New Roman" w:cs="Times New Roman"/>
          <w:sz w:val="24"/>
          <w:szCs w:val="24"/>
        </w:rPr>
        <w:t>(Art. 2.1), ce qui est une manière de signifier qu’elle ne réside pas dans l’Etat</w:t>
      </w:r>
      <w:r w:rsidR="00517BF5" w:rsidRPr="003F7035">
        <w:rPr>
          <w:rFonts w:ascii="Times New Roman" w:hAnsi="Times New Roman" w:cs="Times New Roman"/>
          <w:sz w:val="24"/>
          <w:szCs w:val="24"/>
        </w:rPr>
        <w:t> : ce dernier est en effet fondé sur l’obligation de garantir les droits fondamentaux.</w:t>
      </w:r>
      <w:r w:rsidR="00865275" w:rsidRPr="003F7035">
        <w:rPr>
          <w:rFonts w:ascii="Times New Roman" w:hAnsi="Times New Roman" w:cs="Times New Roman"/>
          <w:sz w:val="24"/>
          <w:szCs w:val="24"/>
        </w:rPr>
        <w:t xml:space="preserve"> L’Accord du 12 décembre fait peu de cas de la cohérence : que la souveraineté soit celle de la République </w:t>
      </w:r>
      <w:r w:rsidR="00150DFA" w:rsidRPr="003F7035">
        <w:rPr>
          <w:rFonts w:ascii="Times New Roman" w:hAnsi="Times New Roman" w:cs="Times New Roman"/>
          <w:sz w:val="24"/>
          <w:szCs w:val="24"/>
        </w:rPr>
        <w:t xml:space="preserve">démocratique </w:t>
      </w:r>
      <w:r w:rsidR="00865275" w:rsidRPr="003F7035">
        <w:rPr>
          <w:rFonts w:ascii="Times New Roman" w:hAnsi="Times New Roman" w:cs="Times New Roman"/>
          <w:sz w:val="24"/>
          <w:szCs w:val="24"/>
        </w:rPr>
        <w:t xml:space="preserve">ne peut vouloir </w:t>
      </w:r>
      <w:r w:rsidR="00865275" w:rsidRPr="003F7035">
        <w:rPr>
          <w:rFonts w:ascii="Times New Roman" w:hAnsi="Times New Roman" w:cs="Times New Roman"/>
          <w:sz w:val="24"/>
          <w:szCs w:val="24"/>
        </w:rPr>
        <w:lastRenderedPageBreak/>
        <w:t>dire qu’une seule chose</w:t>
      </w:r>
      <w:r w:rsidR="003C5DFB" w:rsidRPr="003F7035">
        <w:rPr>
          <w:rFonts w:ascii="Times New Roman" w:hAnsi="Times New Roman" w:cs="Times New Roman"/>
          <w:sz w:val="24"/>
          <w:szCs w:val="24"/>
        </w:rPr>
        <w:t> :</w:t>
      </w:r>
      <w:r w:rsidR="00865275" w:rsidRPr="003F7035">
        <w:rPr>
          <w:rFonts w:ascii="Times New Roman" w:hAnsi="Times New Roman" w:cs="Times New Roman"/>
          <w:sz w:val="24"/>
          <w:szCs w:val="24"/>
        </w:rPr>
        <w:t xml:space="preserve"> elle est un attribut exclusif de la République et non du peuple</w:t>
      </w:r>
      <w:r w:rsidR="00EF1E02" w:rsidRPr="003F7035">
        <w:rPr>
          <w:rFonts w:ascii="Times New Roman" w:hAnsi="Times New Roman" w:cs="Times New Roman"/>
          <w:sz w:val="24"/>
          <w:szCs w:val="24"/>
        </w:rPr>
        <w:t xml:space="preserve"> </w:t>
      </w:r>
      <w:r w:rsidR="00150DFA" w:rsidRPr="003F7035">
        <w:rPr>
          <w:rFonts w:ascii="Times New Roman" w:hAnsi="Times New Roman" w:cs="Times New Roman"/>
          <w:sz w:val="24"/>
          <w:szCs w:val="24"/>
        </w:rPr>
        <w:t>« </w:t>
      </w:r>
      <w:r w:rsidR="00EF1E02" w:rsidRPr="003F7035">
        <w:rPr>
          <w:rFonts w:ascii="Times New Roman" w:hAnsi="Times New Roman" w:cs="Times New Roman"/>
          <w:sz w:val="24"/>
          <w:szCs w:val="24"/>
        </w:rPr>
        <w:t>dans</w:t>
      </w:r>
      <w:r w:rsidR="00150DFA" w:rsidRPr="003F7035">
        <w:rPr>
          <w:rFonts w:ascii="Times New Roman" w:hAnsi="Times New Roman" w:cs="Times New Roman"/>
          <w:sz w:val="24"/>
          <w:szCs w:val="24"/>
        </w:rPr>
        <w:t> »</w:t>
      </w:r>
      <w:r w:rsidR="00EF1E02" w:rsidRPr="003F7035">
        <w:rPr>
          <w:rFonts w:ascii="Times New Roman" w:hAnsi="Times New Roman" w:cs="Times New Roman"/>
          <w:sz w:val="24"/>
          <w:szCs w:val="24"/>
        </w:rPr>
        <w:t xml:space="preserve"> lequel pourtant elle </w:t>
      </w:r>
      <w:r w:rsidR="00150DFA" w:rsidRPr="003F7035">
        <w:rPr>
          <w:rFonts w:ascii="Times New Roman" w:hAnsi="Times New Roman" w:cs="Times New Roman"/>
          <w:sz w:val="24"/>
          <w:szCs w:val="24"/>
        </w:rPr>
        <w:t>« </w:t>
      </w:r>
      <w:r w:rsidR="00EF1E02" w:rsidRPr="003F7035">
        <w:rPr>
          <w:rFonts w:ascii="Times New Roman" w:hAnsi="Times New Roman" w:cs="Times New Roman"/>
          <w:sz w:val="24"/>
          <w:szCs w:val="24"/>
        </w:rPr>
        <w:t>réside</w:t>
      </w:r>
      <w:r w:rsidR="00150DFA" w:rsidRPr="003F7035">
        <w:rPr>
          <w:rFonts w:ascii="Times New Roman" w:hAnsi="Times New Roman" w:cs="Times New Roman"/>
          <w:sz w:val="24"/>
          <w:szCs w:val="24"/>
        </w:rPr>
        <w:t> »</w:t>
      </w:r>
      <w:r w:rsidR="00EF1E02" w:rsidRPr="003F7035">
        <w:rPr>
          <w:rFonts w:ascii="Times New Roman" w:hAnsi="Times New Roman" w:cs="Times New Roman"/>
          <w:sz w:val="24"/>
          <w:szCs w:val="24"/>
        </w:rPr>
        <w:t>.</w:t>
      </w:r>
      <w:r w:rsidR="00865275" w:rsidRPr="003F7035">
        <w:rPr>
          <w:rFonts w:ascii="Times New Roman" w:hAnsi="Times New Roman" w:cs="Times New Roman"/>
          <w:sz w:val="24"/>
          <w:szCs w:val="24"/>
        </w:rPr>
        <w:t xml:space="preserve"> </w:t>
      </w:r>
      <w:r w:rsidR="009C50D2" w:rsidRPr="003F7035">
        <w:rPr>
          <w:rFonts w:ascii="Times New Roman" w:hAnsi="Times New Roman" w:cs="Times New Roman"/>
          <w:sz w:val="24"/>
          <w:szCs w:val="24"/>
        </w:rPr>
        <w:t xml:space="preserve">Comprenne qui pourra. </w:t>
      </w:r>
      <w:r w:rsidR="00EF1E02" w:rsidRPr="003F7035">
        <w:rPr>
          <w:rFonts w:ascii="Times New Roman" w:hAnsi="Times New Roman" w:cs="Times New Roman"/>
          <w:sz w:val="24"/>
          <w:szCs w:val="24"/>
        </w:rPr>
        <w:t>A</w:t>
      </w:r>
      <w:r w:rsidR="009C50D2" w:rsidRPr="003F7035">
        <w:rPr>
          <w:rFonts w:ascii="Times New Roman" w:hAnsi="Times New Roman" w:cs="Times New Roman"/>
          <w:sz w:val="24"/>
          <w:szCs w:val="24"/>
        </w:rPr>
        <w:t xml:space="preserve"> moins que </w:t>
      </w:r>
      <w:r w:rsidR="00EF1E02" w:rsidRPr="003F7035">
        <w:rPr>
          <w:rFonts w:ascii="Times New Roman" w:hAnsi="Times New Roman" w:cs="Times New Roman"/>
          <w:sz w:val="24"/>
          <w:szCs w:val="24"/>
        </w:rPr>
        <w:t>l</w:t>
      </w:r>
      <w:r w:rsidR="00865275" w:rsidRPr="003F7035">
        <w:rPr>
          <w:rFonts w:ascii="Times New Roman" w:hAnsi="Times New Roman" w:cs="Times New Roman"/>
          <w:sz w:val="24"/>
          <w:szCs w:val="24"/>
        </w:rPr>
        <w:t>e peuple n</w:t>
      </w:r>
      <w:r w:rsidR="009C50D2" w:rsidRPr="003F7035">
        <w:rPr>
          <w:rFonts w:ascii="Times New Roman" w:hAnsi="Times New Roman" w:cs="Times New Roman"/>
          <w:sz w:val="24"/>
          <w:szCs w:val="24"/>
        </w:rPr>
        <w:t>e soit</w:t>
      </w:r>
      <w:r w:rsidR="00865275" w:rsidRPr="003F7035">
        <w:rPr>
          <w:rFonts w:ascii="Times New Roman" w:hAnsi="Times New Roman" w:cs="Times New Roman"/>
          <w:sz w:val="24"/>
          <w:szCs w:val="24"/>
        </w:rPr>
        <w:t xml:space="preserve"> mentio</w:t>
      </w:r>
      <w:r w:rsidR="009C50D2" w:rsidRPr="003F7035">
        <w:rPr>
          <w:rFonts w:ascii="Times New Roman" w:hAnsi="Times New Roman" w:cs="Times New Roman"/>
          <w:sz w:val="24"/>
          <w:szCs w:val="24"/>
        </w:rPr>
        <w:t>n</w:t>
      </w:r>
      <w:r w:rsidR="00865275" w:rsidRPr="003F7035">
        <w:rPr>
          <w:rFonts w:ascii="Times New Roman" w:hAnsi="Times New Roman" w:cs="Times New Roman"/>
          <w:sz w:val="24"/>
          <w:szCs w:val="24"/>
        </w:rPr>
        <w:t xml:space="preserve">né </w:t>
      </w:r>
      <w:r w:rsidR="00EF1E02" w:rsidRPr="003F7035">
        <w:rPr>
          <w:rFonts w:ascii="Times New Roman" w:hAnsi="Times New Roman" w:cs="Times New Roman"/>
          <w:sz w:val="24"/>
          <w:szCs w:val="24"/>
        </w:rPr>
        <w:t xml:space="preserve">là </w:t>
      </w:r>
      <w:r w:rsidR="00865275" w:rsidRPr="003F7035">
        <w:rPr>
          <w:rFonts w:ascii="Times New Roman" w:hAnsi="Times New Roman" w:cs="Times New Roman"/>
          <w:sz w:val="24"/>
          <w:szCs w:val="24"/>
        </w:rPr>
        <w:t xml:space="preserve">que pour être un </w:t>
      </w:r>
      <w:r w:rsidR="00EF1E02" w:rsidRPr="003F7035">
        <w:rPr>
          <w:rFonts w:ascii="Times New Roman" w:hAnsi="Times New Roman" w:cs="Times New Roman"/>
          <w:sz w:val="24"/>
          <w:szCs w:val="24"/>
        </w:rPr>
        <w:t xml:space="preserve">faire-valoir passif de la </w:t>
      </w:r>
      <w:r w:rsidR="002F2FE6" w:rsidRPr="003F7035">
        <w:rPr>
          <w:rFonts w:ascii="Times New Roman" w:hAnsi="Times New Roman" w:cs="Times New Roman"/>
          <w:sz w:val="24"/>
          <w:szCs w:val="24"/>
        </w:rPr>
        <w:t>« </w:t>
      </w:r>
      <w:r w:rsidR="00EF1E02" w:rsidRPr="003F7035">
        <w:rPr>
          <w:rFonts w:ascii="Times New Roman" w:hAnsi="Times New Roman" w:cs="Times New Roman"/>
          <w:sz w:val="24"/>
          <w:szCs w:val="24"/>
        </w:rPr>
        <w:t>République</w:t>
      </w:r>
      <w:r w:rsidR="002F2FE6" w:rsidRPr="003F7035">
        <w:rPr>
          <w:rFonts w:ascii="Times New Roman" w:hAnsi="Times New Roman" w:cs="Times New Roman"/>
          <w:sz w:val="24"/>
          <w:szCs w:val="24"/>
        </w:rPr>
        <w:t xml:space="preserve"> » dont la majesté </w:t>
      </w:r>
      <w:r w:rsidR="009C50D2" w:rsidRPr="003F7035">
        <w:rPr>
          <w:rFonts w:ascii="Times New Roman" w:hAnsi="Times New Roman" w:cs="Times New Roman"/>
          <w:sz w:val="24"/>
          <w:szCs w:val="24"/>
        </w:rPr>
        <w:t xml:space="preserve">est hissée au-dessus de lui. </w:t>
      </w:r>
      <w:r w:rsidR="00517BF5" w:rsidRPr="003F7035">
        <w:rPr>
          <w:rFonts w:ascii="Times New Roman" w:hAnsi="Times New Roman" w:cs="Times New Roman"/>
          <w:sz w:val="24"/>
          <w:szCs w:val="24"/>
        </w:rPr>
        <w:t>Ce retour en force du signifiant « République » ne doit rien au hasard. L</w:t>
      </w:r>
      <w:r w:rsidR="007B0EFF" w:rsidRPr="003F7035">
        <w:rPr>
          <w:rFonts w:ascii="Times New Roman" w:hAnsi="Times New Roman" w:cs="Times New Roman"/>
          <w:sz w:val="24"/>
          <w:szCs w:val="24"/>
        </w:rPr>
        <w:t xml:space="preserve">’affrontement durant la campagne en vue du plébiscite de sortie tourna en grande partie autour de l’interprétation de l’histoire chilienne. La droite et le centre droit ont accusé les partisans de la Nouvelle Constitution de vouloir « briser 200 ans de tradition républicaine » </w:t>
      </w:r>
      <w:r w:rsidR="005D4A8C" w:rsidRPr="003F7035">
        <w:rPr>
          <w:rFonts w:ascii="Times New Roman" w:hAnsi="Times New Roman" w:cs="Times New Roman"/>
          <w:sz w:val="24"/>
          <w:szCs w:val="24"/>
        </w:rPr>
        <w:t xml:space="preserve">et Christian </w:t>
      </w:r>
      <w:proofErr w:type="spellStart"/>
      <w:r w:rsidR="005D4A8C" w:rsidRPr="003F7035">
        <w:rPr>
          <w:rFonts w:ascii="Times New Roman" w:hAnsi="Times New Roman" w:cs="Times New Roman"/>
          <w:sz w:val="24"/>
          <w:szCs w:val="24"/>
        </w:rPr>
        <w:t>Warken</w:t>
      </w:r>
      <w:proofErr w:type="spellEnd"/>
      <w:r w:rsidR="005D4A8C" w:rsidRPr="003F7035">
        <w:rPr>
          <w:rFonts w:ascii="Times New Roman" w:hAnsi="Times New Roman" w:cs="Times New Roman"/>
          <w:sz w:val="24"/>
          <w:szCs w:val="24"/>
        </w:rPr>
        <w:t xml:space="preserve">, porte-parole du mouvement Los </w:t>
      </w:r>
      <w:proofErr w:type="spellStart"/>
      <w:r w:rsidR="005D4A8C" w:rsidRPr="003F7035">
        <w:rPr>
          <w:rFonts w:ascii="Times New Roman" w:hAnsi="Times New Roman" w:cs="Times New Roman"/>
          <w:sz w:val="24"/>
          <w:szCs w:val="24"/>
        </w:rPr>
        <w:t>Amarillos</w:t>
      </w:r>
      <w:proofErr w:type="spellEnd"/>
      <w:r w:rsidR="005D4A8C" w:rsidRPr="003F7035">
        <w:rPr>
          <w:rFonts w:ascii="Times New Roman" w:hAnsi="Times New Roman" w:cs="Times New Roman"/>
          <w:sz w:val="24"/>
          <w:szCs w:val="24"/>
        </w:rPr>
        <w:t>, a affirmé que la PNC était « étrangère à la réalité nationale et à son histoire républicaine »</w:t>
      </w:r>
      <w:r w:rsidR="005D4A8C" w:rsidRPr="003F7035">
        <w:rPr>
          <w:rStyle w:val="Appelnotedebasdep"/>
          <w:rFonts w:ascii="Times New Roman" w:hAnsi="Times New Roman" w:cs="Times New Roman"/>
          <w:sz w:val="24"/>
          <w:szCs w:val="24"/>
        </w:rPr>
        <w:footnoteReference w:id="1"/>
      </w:r>
      <w:r w:rsidR="005D4A8C" w:rsidRPr="003F7035">
        <w:rPr>
          <w:rFonts w:ascii="Times New Roman" w:hAnsi="Times New Roman" w:cs="Times New Roman"/>
          <w:sz w:val="24"/>
          <w:szCs w:val="24"/>
        </w:rPr>
        <w:t xml:space="preserve">. </w:t>
      </w:r>
      <w:r w:rsidR="001B54E6" w:rsidRPr="003F7035">
        <w:rPr>
          <w:rFonts w:ascii="Times New Roman" w:hAnsi="Times New Roman" w:cs="Times New Roman"/>
          <w:sz w:val="24"/>
          <w:szCs w:val="24"/>
        </w:rPr>
        <w:t xml:space="preserve">La République est brandie comme un signifiant univoque propre à interdire toute débat. </w:t>
      </w:r>
      <w:r w:rsidR="00C2784C" w:rsidRPr="003F7035">
        <w:rPr>
          <w:rFonts w:ascii="Times New Roman" w:hAnsi="Times New Roman" w:cs="Times New Roman"/>
          <w:sz w:val="24"/>
          <w:szCs w:val="24"/>
        </w:rPr>
        <w:t>I</w:t>
      </w:r>
      <w:r w:rsidR="00865275" w:rsidRPr="003F7035">
        <w:rPr>
          <w:rFonts w:ascii="Times New Roman" w:hAnsi="Times New Roman" w:cs="Times New Roman"/>
          <w:sz w:val="24"/>
          <w:szCs w:val="24"/>
        </w:rPr>
        <w:t>l fut un temps où l’on définis</w:t>
      </w:r>
      <w:r w:rsidR="009C50D2" w:rsidRPr="003F7035">
        <w:rPr>
          <w:rFonts w:ascii="Times New Roman" w:hAnsi="Times New Roman" w:cs="Times New Roman"/>
          <w:sz w:val="24"/>
          <w:szCs w:val="24"/>
        </w:rPr>
        <w:t>sait</w:t>
      </w:r>
      <w:r w:rsidR="00865275" w:rsidRPr="003F7035">
        <w:rPr>
          <w:rFonts w:ascii="Times New Roman" w:hAnsi="Times New Roman" w:cs="Times New Roman"/>
          <w:sz w:val="24"/>
          <w:szCs w:val="24"/>
        </w:rPr>
        <w:t xml:space="preserve"> la République</w:t>
      </w:r>
      <w:r w:rsidR="004F012F" w:rsidRPr="003F7035">
        <w:rPr>
          <w:rFonts w:ascii="Times New Roman" w:hAnsi="Times New Roman" w:cs="Times New Roman"/>
          <w:sz w:val="24"/>
          <w:szCs w:val="24"/>
        </w:rPr>
        <w:t xml:space="preserve">, </w:t>
      </w:r>
      <w:r w:rsidR="00A34CE9" w:rsidRPr="003F7035">
        <w:rPr>
          <w:rFonts w:ascii="Times New Roman" w:hAnsi="Times New Roman" w:cs="Times New Roman"/>
          <w:sz w:val="24"/>
          <w:szCs w:val="24"/>
        </w:rPr>
        <w:t xml:space="preserve">ou « chose publique » </w:t>
      </w:r>
      <w:r w:rsidR="009C50D2" w:rsidRPr="003F7035">
        <w:rPr>
          <w:rFonts w:ascii="Times New Roman" w:hAnsi="Times New Roman" w:cs="Times New Roman"/>
          <w:sz w:val="24"/>
          <w:szCs w:val="24"/>
        </w:rPr>
        <w:t>(</w:t>
      </w:r>
      <w:proofErr w:type="spellStart"/>
      <w:r w:rsidR="004F012F" w:rsidRPr="003F7035">
        <w:rPr>
          <w:rFonts w:ascii="Times New Roman" w:hAnsi="Times New Roman" w:cs="Times New Roman"/>
          <w:i/>
          <w:iCs/>
          <w:sz w:val="24"/>
          <w:szCs w:val="24"/>
        </w:rPr>
        <w:t>r</w:t>
      </w:r>
      <w:r w:rsidR="009C50D2" w:rsidRPr="003F7035">
        <w:rPr>
          <w:rFonts w:ascii="Times New Roman" w:hAnsi="Times New Roman" w:cs="Times New Roman"/>
          <w:i/>
          <w:iCs/>
          <w:sz w:val="24"/>
          <w:szCs w:val="24"/>
        </w:rPr>
        <w:t>es</w:t>
      </w:r>
      <w:proofErr w:type="spellEnd"/>
      <w:r w:rsidR="009C50D2" w:rsidRPr="003F7035">
        <w:rPr>
          <w:rFonts w:ascii="Times New Roman" w:hAnsi="Times New Roman" w:cs="Times New Roman"/>
          <w:i/>
          <w:iCs/>
          <w:sz w:val="24"/>
          <w:szCs w:val="24"/>
        </w:rPr>
        <w:t xml:space="preserve"> publica</w:t>
      </w:r>
      <w:r w:rsidR="009C50D2" w:rsidRPr="003F7035">
        <w:rPr>
          <w:rFonts w:ascii="Times New Roman" w:hAnsi="Times New Roman" w:cs="Times New Roman"/>
          <w:sz w:val="24"/>
          <w:szCs w:val="24"/>
        </w:rPr>
        <w:t>)</w:t>
      </w:r>
      <w:r w:rsidR="004F012F" w:rsidRPr="003F7035">
        <w:rPr>
          <w:rFonts w:ascii="Times New Roman" w:hAnsi="Times New Roman" w:cs="Times New Roman"/>
          <w:sz w:val="24"/>
          <w:szCs w:val="24"/>
        </w:rPr>
        <w:t>,</w:t>
      </w:r>
      <w:r w:rsidR="009C50D2" w:rsidRPr="003F7035">
        <w:rPr>
          <w:rFonts w:ascii="Times New Roman" w:hAnsi="Times New Roman" w:cs="Times New Roman"/>
          <w:sz w:val="24"/>
          <w:szCs w:val="24"/>
        </w:rPr>
        <w:t xml:space="preserve"> </w:t>
      </w:r>
      <w:r w:rsidR="00865275" w:rsidRPr="003F7035">
        <w:rPr>
          <w:rFonts w:ascii="Times New Roman" w:hAnsi="Times New Roman" w:cs="Times New Roman"/>
          <w:sz w:val="24"/>
          <w:szCs w:val="24"/>
        </w:rPr>
        <w:t>comme la « chose du peuple </w:t>
      </w:r>
      <w:r w:rsidR="00EF1E02" w:rsidRPr="003F7035">
        <w:rPr>
          <w:rFonts w:ascii="Times New Roman" w:hAnsi="Times New Roman" w:cs="Times New Roman"/>
          <w:sz w:val="24"/>
          <w:szCs w:val="24"/>
        </w:rPr>
        <w:t>(</w:t>
      </w:r>
      <w:proofErr w:type="spellStart"/>
      <w:r w:rsidR="004F012F" w:rsidRPr="003F7035">
        <w:rPr>
          <w:rFonts w:ascii="Times New Roman" w:hAnsi="Times New Roman" w:cs="Times New Roman"/>
          <w:i/>
          <w:iCs/>
          <w:sz w:val="24"/>
          <w:szCs w:val="24"/>
        </w:rPr>
        <w:t>r</w:t>
      </w:r>
      <w:r w:rsidR="00EF1E02" w:rsidRPr="003F7035">
        <w:rPr>
          <w:rFonts w:ascii="Times New Roman" w:hAnsi="Times New Roman" w:cs="Times New Roman"/>
          <w:i/>
          <w:iCs/>
          <w:sz w:val="24"/>
          <w:szCs w:val="24"/>
        </w:rPr>
        <w:t>es</w:t>
      </w:r>
      <w:proofErr w:type="spellEnd"/>
      <w:r w:rsidR="00EF1E02" w:rsidRPr="003F7035">
        <w:rPr>
          <w:rFonts w:ascii="Times New Roman" w:hAnsi="Times New Roman" w:cs="Times New Roman"/>
          <w:i/>
          <w:iCs/>
          <w:sz w:val="24"/>
          <w:szCs w:val="24"/>
        </w:rPr>
        <w:t xml:space="preserve"> populi</w:t>
      </w:r>
      <w:r w:rsidR="00EF1E02" w:rsidRPr="003F7035">
        <w:rPr>
          <w:rFonts w:ascii="Times New Roman" w:hAnsi="Times New Roman" w:cs="Times New Roman"/>
          <w:sz w:val="24"/>
          <w:szCs w:val="24"/>
        </w:rPr>
        <w:t xml:space="preserve">) </w:t>
      </w:r>
      <w:r w:rsidR="00865275" w:rsidRPr="003F7035">
        <w:rPr>
          <w:rFonts w:ascii="Times New Roman" w:hAnsi="Times New Roman" w:cs="Times New Roman"/>
          <w:sz w:val="24"/>
          <w:szCs w:val="24"/>
        </w:rPr>
        <w:t xml:space="preserve">». Manifestement ce temps est révolu. </w:t>
      </w:r>
      <w:r w:rsidR="00EF1E02" w:rsidRPr="003F7035">
        <w:rPr>
          <w:rFonts w:ascii="Times New Roman" w:hAnsi="Times New Roman" w:cs="Times New Roman"/>
          <w:sz w:val="24"/>
          <w:szCs w:val="24"/>
        </w:rPr>
        <w:t>La République</w:t>
      </w:r>
      <w:r w:rsidR="00517BF5" w:rsidRPr="003F7035">
        <w:rPr>
          <w:rFonts w:ascii="Times New Roman" w:hAnsi="Times New Roman" w:cs="Times New Roman"/>
          <w:sz w:val="24"/>
          <w:szCs w:val="24"/>
        </w:rPr>
        <w:t>,</w:t>
      </w:r>
      <w:r w:rsidR="00EF1E02" w:rsidRPr="003F7035">
        <w:rPr>
          <w:rFonts w:ascii="Times New Roman" w:hAnsi="Times New Roman" w:cs="Times New Roman"/>
          <w:sz w:val="24"/>
          <w:szCs w:val="24"/>
        </w:rPr>
        <w:t xml:space="preserve"> </w:t>
      </w:r>
      <w:r w:rsidR="00517BF5" w:rsidRPr="003F7035">
        <w:rPr>
          <w:rFonts w:ascii="Times New Roman" w:hAnsi="Times New Roman" w:cs="Times New Roman"/>
          <w:sz w:val="24"/>
          <w:szCs w:val="24"/>
        </w:rPr>
        <w:t xml:space="preserve">même </w:t>
      </w:r>
      <w:r w:rsidR="007B0EFF" w:rsidRPr="003F7035">
        <w:rPr>
          <w:rFonts w:ascii="Times New Roman" w:hAnsi="Times New Roman" w:cs="Times New Roman"/>
          <w:sz w:val="24"/>
          <w:szCs w:val="24"/>
        </w:rPr>
        <w:t>affublée</w:t>
      </w:r>
      <w:r w:rsidR="00517BF5" w:rsidRPr="003F7035">
        <w:rPr>
          <w:rFonts w:ascii="Times New Roman" w:hAnsi="Times New Roman" w:cs="Times New Roman"/>
          <w:sz w:val="24"/>
          <w:szCs w:val="24"/>
        </w:rPr>
        <w:t xml:space="preserve"> du qualificatif de « démocratique » </w:t>
      </w:r>
      <w:r w:rsidR="00F631E6" w:rsidRPr="003F7035">
        <w:rPr>
          <w:rFonts w:ascii="Times New Roman" w:hAnsi="Times New Roman" w:cs="Times New Roman"/>
          <w:sz w:val="24"/>
          <w:szCs w:val="24"/>
        </w:rPr>
        <w:t>en lieu et place du « solidaire » de la PNC</w:t>
      </w:r>
      <w:r w:rsidR="00517BF5" w:rsidRPr="003F7035">
        <w:rPr>
          <w:rFonts w:ascii="Times New Roman" w:hAnsi="Times New Roman" w:cs="Times New Roman"/>
          <w:sz w:val="24"/>
          <w:szCs w:val="24"/>
        </w:rPr>
        <w:t xml:space="preserve">, </w:t>
      </w:r>
      <w:r w:rsidR="00EF1E02" w:rsidRPr="003F7035">
        <w:rPr>
          <w:rFonts w:ascii="Times New Roman" w:hAnsi="Times New Roman" w:cs="Times New Roman"/>
          <w:sz w:val="24"/>
          <w:szCs w:val="24"/>
        </w:rPr>
        <w:t xml:space="preserve">est </w:t>
      </w:r>
      <w:r w:rsidR="00150DFA" w:rsidRPr="003F7035">
        <w:rPr>
          <w:rFonts w:ascii="Times New Roman" w:hAnsi="Times New Roman" w:cs="Times New Roman"/>
          <w:sz w:val="24"/>
          <w:szCs w:val="24"/>
        </w:rPr>
        <w:t>trop sérieuse pour cela, elle est</w:t>
      </w:r>
      <w:r w:rsidR="003C5DFB" w:rsidRPr="003F7035">
        <w:rPr>
          <w:rFonts w:ascii="Times New Roman" w:hAnsi="Times New Roman" w:cs="Times New Roman"/>
          <w:sz w:val="24"/>
          <w:szCs w:val="24"/>
        </w:rPr>
        <w:t xml:space="preserve"> </w:t>
      </w:r>
      <w:r w:rsidR="00382428" w:rsidRPr="003F7035">
        <w:rPr>
          <w:rFonts w:ascii="Times New Roman" w:hAnsi="Times New Roman" w:cs="Times New Roman"/>
          <w:sz w:val="24"/>
          <w:szCs w:val="24"/>
        </w:rPr>
        <w:t>maintenant</w:t>
      </w:r>
      <w:r w:rsidR="00C36811" w:rsidRPr="003F7035">
        <w:rPr>
          <w:rFonts w:ascii="Times New Roman" w:hAnsi="Times New Roman" w:cs="Times New Roman"/>
          <w:sz w:val="24"/>
          <w:szCs w:val="24"/>
        </w:rPr>
        <w:t xml:space="preserve"> la </w:t>
      </w:r>
      <w:r w:rsidR="002A562D" w:rsidRPr="003F7035">
        <w:rPr>
          <w:rFonts w:ascii="Times New Roman" w:hAnsi="Times New Roman" w:cs="Times New Roman"/>
          <w:sz w:val="24"/>
          <w:szCs w:val="24"/>
        </w:rPr>
        <w:t>« </w:t>
      </w:r>
      <w:r w:rsidR="00C36811" w:rsidRPr="003F7035">
        <w:rPr>
          <w:rFonts w:ascii="Times New Roman" w:hAnsi="Times New Roman" w:cs="Times New Roman"/>
          <w:sz w:val="24"/>
          <w:szCs w:val="24"/>
        </w:rPr>
        <w:t>chose</w:t>
      </w:r>
      <w:r w:rsidR="002A562D" w:rsidRPr="003F7035">
        <w:rPr>
          <w:rFonts w:ascii="Times New Roman" w:hAnsi="Times New Roman" w:cs="Times New Roman"/>
          <w:sz w:val="24"/>
          <w:szCs w:val="24"/>
        </w:rPr>
        <w:t> »</w:t>
      </w:r>
      <w:r w:rsidR="00C36811" w:rsidRPr="003F7035">
        <w:rPr>
          <w:rFonts w:ascii="Times New Roman" w:hAnsi="Times New Roman" w:cs="Times New Roman"/>
          <w:sz w:val="24"/>
          <w:szCs w:val="24"/>
        </w:rPr>
        <w:t xml:space="preserve"> </w:t>
      </w:r>
      <w:r w:rsidR="00EF1E02" w:rsidRPr="003F7035">
        <w:rPr>
          <w:rFonts w:ascii="Times New Roman" w:hAnsi="Times New Roman" w:cs="Times New Roman"/>
          <w:sz w:val="24"/>
          <w:szCs w:val="24"/>
        </w:rPr>
        <w:t>de l’Etat et de ses représentants</w:t>
      </w:r>
      <w:r w:rsidR="00382428" w:rsidRPr="003F7035">
        <w:rPr>
          <w:rFonts w:ascii="Times New Roman" w:hAnsi="Times New Roman" w:cs="Times New Roman"/>
          <w:sz w:val="24"/>
          <w:szCs w:val="24"/>
        </w:rPr>
        <w:t xml:space="preserve">. Quant au </w:t>
      </w:r>
      <w:r w:rsidR="00EF1E02" w:rsidRPr="003F7035">
        <w:rPr>
          <w:rFonts w:ascii="Times New Roman" w:hAnsi="Times New Roman" w:cs="Times New Roman"/>
          <w:sz w:val="24"/>
          <w:szCs w:val="24"/>
        </w:rPr>
        <w:t>peuple</w:t>
      </w:r>
      <w:r w:rsidR="00382428" w:rsidRPr="003F7035">
        <w:rPr>
          <w:rFonts w:ascii="Times New Roman" w:hAnsi="Times New Roman" w:cs="Times New Roman"/>
          <w:sz w:val="24"/>
          <w:szCs w:val="24"/>
        </w:rPr>
        <w:t>, il est</w:t>
      </w:r>
      <w:r w:rsidR="00EF1E02" w:rsidRPr="003F7035">
        <w:rPr>
          <w:rFonts w:ascii="Times New Roman" w:hAnsi="Times New Roman" w:cs="Times New Roman"/>
          <w:sz w:val="24"/>
          <w:szCs w:val="24"/>
        </w:rPr>
        <w:t xml:space="preserve"> réduit à n’être que le dépositaire d’une souveraineté qui ne lui appartient pas</w:t>
      </w:r>
      <w:r w:rsidR="009C50D2" w:rsidRPr="003F7035">
        <w:rPr>
          <w:rFonts w:ascii="Times New Roman" w:hAnsi="Times New Roman" w:cs="Times New Roman"/>
          <w:sz w:val="24"/>
          <w:szCs w:val="24"/>
        </w:rPr>
        <w:t xml:space="preserve"> et qu’il n</w:t>
      </w:r>
      <w:r w:rsidR="00C36811" w:rsidRPr="003F7035">
        <w:rPr>
          <w:rFonts w:ascii="Times New Roman" w:hAnsi="Times New Roman" w:cs="Times New Roman"/>
          <w:sz w:val="24"/>
          <w:szCs w:val="24"/>
        </w:rPr>
        <w:t xml:space="preserve">’est </w:t>
      </w:r>
      <w:r w:rsidR="00150DFA" w:rsidRPr="003F7035">
        <w:rPr>
          <w:rFonts w:ascii="Times New Roman" w:hAnsi="Times New Roman" w:cs="Times New Roman"/>
          <w:sz w:val="24"/>
          <w:szCs w:val="24"/>
        </w:rPr>
        <w:t xml:space="preserve">pas </w:t>
      </w:r>
      <w:r w:rsidR="009C50D2" w:rsidRPr="003F7035">
        <w:rPr>
          <w:rFonts w:ascii="Times New Roman" w:hAnsi="Times New Roman" w:cs="Times New Roman"/>
          <w:sz w:val="24"/>
          <w:szCs w:val="24"/>
        </w:rPr>
        <w:t>pour cette raison</w:t>
      </w:r>
      <w:r w:rsidR="00150DFA" w:rsidRPr="003F7035">
        <w:rPr>
          <w:rFonts w:ascii="Times New Roman" w:hAnsi="Times New Roman" w:cs="Times New Roman"/>
          <w:sz w:val="24"/>
          <w:szCs w:val="24"/>
        </w:rPr>
        <w:t xml:space="preserve"> </w:t>
      </w:r>
      <w:r w:rsidR="00C36811" w:rsidRPr="003F7035">
        <w:rPr>
          <w:rFonts w:ascii="Times New Roman" w:hAnsi="Times New Roman" w:cs="Times New Roman"/>
          <w:sz w:val="24"/>
          <w:szCs w:val="24"/>
        </w:rPr>
        <w:t xml:space="preserve">appelé à </w:t>
      </w:r>
      <w:r w:rsidR="009C50D2" w:rsidRPr="003F7035">
        <w:rPr>
          <w:rFonts w:ascii="Times New Roman" w:hAnsi="Times New Roman" w:cs="Times New Roman"/>
          <w:sz w:val="24"/>
          <w:szCs w:val="24"/>
        </w:rPr>
        <w:t>exercer</w:t>
      </w:r>
      <w:r w:rsidR="00EF1E02" w:rsidRPr="003F7035">
        <w:rPr>
          <w:rFonts w:ascii="Times New Roman" w:hAnsi="Times New Roman" w:cs="Times New Roman"/>
          <w:sz w:val="24"/>
          <w:szCs w:val="24"/>
        </w:rPr>
        <w:t>.</w:t>
      </w:r>
      <w:r w:rsidR="00C36811" w:rsidRPr="003F7035">
        <w:rPr>
          <w:rFonts w:ascii="Times New Roman" w:hAnsi="Times New Roman" w:cs="Times New Roman"/>
          <w:sz w:val="24"/>
          <w:szCs w:val="24"/>
        </w:rPr>
        <w:t xml:space="preserve"> </w:t>
      </w:r>
    </w:p>
    <w:p w14:paraId="0B0A848E" w14:textId="3977915F" w:rsidR="00E52E27" w:rsidRPr="003F7035" w:rsidRDefault="00E52E27" w:rsidP="004833E9">
      <w:pPr>
        <w:spacing w:line="360" w:lineRule="auto"/>
        <w:jc w:val="both"/>
        <w:rPr>
          <w:rFonts w:ascii="Times New Roman" w:hAnsi="Times New Roman" w:cs="Times New Roman"/>
          <w:b/>
          <w:bCs/>
          <w:sz w:val="24"/>
          <w:szCs w:val="24"/>
        </w:rPr>
      </w:pPr>
      <w:r w:rsidRPr="003F7035">
        <w:rPr>
          <w:rFonts w:ascii="Times New Roman" w:hAnsi="Times New Roman" w:cs="Times New Roman"/>
          <w:b/>
          <w:bCs/>
          <w:sz w:val="24"/>
          <w:szCs w:val="24"/>
        </w:rPr>
        <w:t>Des droits</w:t>
      </w:r>
      <w:r w:rsidR="00EE3744" w:rsidRPr="003F7035">
        <w:rPr>
          <w:rFonts w:ascii="Times New Roman" w:hAnsi="Times New Roman" w:cs="Times New Roman"/>
          <w:b/>
          <w:bCs/>
          <w:sz w:val="24"/>
          <w:szCs w:val="24"/>
        </w:rPr>
        <w:t xml:space="preserve"> sociaux</w:t>
      </w:r>
      <w:r w:rsidRPr="003F7035">
        <w:rPr>
          <w:rFonts w:ascii="Times New Roman" w:hAnsi="Times New Roman" w:cs="Times New Roman"/>
          <w:b/>
          <w:bCs/>
          <w:sz w:val="24"/>
          <w:szCs w:val="24"/>
        </w:rPr>
        <w:t xml:space="preserve"> </w:t>
      </w:r>
      <w:r w:rsidR="00EB191F" w:rsidRPr="003F7035">
        <w:rPr>
          <w:rFonts w:ascii="Times New Roman" w:hAnsi="Times New Roman" w:cs="Times New Roman"/>
          <w:b/>
          <w:bCs/>
          <w:sz w:val="24"/>
          <w:szCs w:val="24"/>
        </w:rPr>
        <w:t>conditionn</w:t>
      </w:r>
      <w:r w:rsidRPr="003F7035">
        <w:rPr>
          <w:rFonts w:ascii="Times New Roman" w:hAnsi="Times New Roman" w:cs="Times New Roman"/>
          <w:b/>
          <w:bCs/>
          <w:sz w:val="24"/>
          <w:szCs w:val="24"/>
        </w:rPr>
        <w:t xml:space="preserve">és </w:t>
      </w:r>
    </w:p>
    <w:p w14:paraId="216AE53F" w14:textId="0043F759" w:rsidR="00382428" w:rsidRPr="003F7035" w:rsidRDefault="001205E5"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L</w:t>
      </w:r>
      <w:r w:rsidR="004A5061" w:rsidRPr="003F7035">
        <w:rPr>
          <w:rFonts w:ascii="Times New Roman" w:hAnsi="Times New Roman" w:cs="Times New Roman"/>
          <w:sz w:val="24"/>
          <w:szCs w:val="24"/>
        </w:rPr>
        <w:t>a lecture du</w:t>
      </w:r>
      <w:r w:rsidR="00C36811" w:rsidRPr="003F7035">
        <w:rPr>
          <w:rFonts w:ascii="Times New Roman" w:hAnsi="Times New Roman" w:cs="Times New Roman"/>
          <w:sz w:val="24"/>
          <w:szCs w:val="24"/>
        </w:rPr>
        <w:t xml:space="preserve"> point 3</w:t>
      </w:r>
      <w:r w:rsidR="00744E0F" w:rsidRPr="003F7035">
        <w:rPr>
          <w:rFonts w:ascii="Times New Roman" w:hAnsi="Times New Roman" w:cs="Times New Roman"/>
          <w:sz w:val="24"/>
          <w:szCs w:val="24"/>
        </w:rPr>
        <w:t xml:space="preserve"> ne peut que renforcer cette appréhension</w:t>
      </w:r>
      <w:r w:rsidR="005E03CD" w:rsidRPr="003F7035">
        <w:rPr>
          <w:rFonts w:ascii="Times New Roman" w:hAnsi="Times New Roman" w:cs="Times New Roman"/>
          <w:sz w:val="24"/>
          <w:szCs w:val="24"/>
        </w:rPr>
        <w:t xml:space="preserve">. On y affirme que </w:t>
      </w:r>
      <w:r w:rsidR="00C36811" w:rsidRPr="003F7035">
        <w:rPr>
          <w:rFonts w:ascii="Times New Roman" w:hAnsi="Times New Roman" w:cs="Times New Roman"/>
          <w:sz w:val="24"/>
          <w:szCs w:val="24"/>
        </w:rPr>
        <w:t>la souveraineté a pour limite la dignité de la personne humaine et les droits humains</w:t>
      </w:r>
      <w:r w:rsidR="003D0A7A" w:rsidRPr="003F7035">
        <w:rPr>
          <w:rFonts w:ascii="Times New Roman" w:hAnsi="Times New Roman" w:cs="Times New Roman"/>
          <w:sz w:val="24"/>
          <w:szCs w:val="24"/>
        </w:rPr>
        <w:t xml:space="preserve">, ce qui ne fait que reprendre une formulation de l’article 2.1 de la </w:t>
      </w:r>
      <w:r w:rsidR="004A5061" w:rsidRPr="003F7035">
        <w:rPr>
          <w:rFonts w:ascii="Times New Roman" w:hAnsi="Times New Roman" w:cs="Times New Roman"/>
          <w:sz w:val="24"/>
          <w:szCs w:val="24"/>
        </w:rPr>
        <w:t>PNC</w:t>
      </w:r>
      <w:r w:rsidR="005E03CD" w:rsidRPr="003F7035">
        <w:rPr>
          <w:rFonts w:ascii="Times New Roman" w:hAnsi="Times New Roman" w:cs="Times New Roman"/>
          <w:sz w:val="24"/>
          <w:szCs w:val="24"/>
        </w:rPr>
        <w:t>. Mais on y découvre</w:t>
      </w:r>
      <w:r w:rsidRPr="003F7035">
        <w:rPr>
          <w:rFonts w:ascii="Times New Roman" w:hAnsi="Times New Roman" w:cs="Times New Roman"/>
          <w:sz w:val="24"/>
          <w:szCs w:val="24"/>
        </w:rPr>
        <w:t xml:space="preserve"> </w:t>
      </w:r>
      <w:r w:rsidR="00B45537" w:rsidRPr="003F7035">
        <w:rPr>
          <w:rFonts w:ascii="Times New Roman" w:hAnsi="Times New Roman" w:cs="Times New Roman"/>
          <w:sz w:val="24"/>
          <w:szCs w:val="24"/>
        </w:rPr>
        <w:t xml:space="preserve">avec la dernière phrase </w:t>
      </w:r>
      <w:r w:rsidR="005E03CD" w:rsidRPr="003F7035">
        <w:rPr>
          <w:rFonts w:ascii="Times New Roman" w:hAnsi="Times New Roman" w:cs="Times New Roman"/>
          <w:sz w:val="24"/>
          <w:szCs w:val="24"/>
        </w:rPr>
        <w:t xml:space="preserve">de ce paragraphe </w:t>
      </w:r>
      <w:r w:rsidR="00B45537" w:rsidRPr="003F7035">
        <w:rPr>
          <w:rFonts w:ascii="Times New Roman" w:hAnsi="Times New Roman" w:cs="Times New Roman"/>
          <w:sz w:val="24"/>
          <w:szCs w:val="24"/>
        </w:rPr>
        <w:t>que</w:t>
      </w:r>
      <w:r w:rsidR="003D0A7A" w:rsidRPr="003F7035">
        <w:rPr>
          <w:rFonts w:ascii="Times New Roman" w:hAnsi="Times New Roman" w:cs="Times New Roman"/>
          <w:sz w:val="24"/>
          <w:szCs w:val="24"/>
        </w:rPr>
        <w:t xml:space="preserve"> l</w:t>
      </w:r>
      <w:r w:rsidR="005E03CD" w:rsidRPr="003F7035">
        <w:rPr>
          <w:rFonts w:ascii="Times New Roman" w:hAnsi="Times New Roman" w:cs="Times New Roman"/>
          <w:sz w:val="24"/>
          <w:szCs w:val="24"/>
        </w:rPr>
        <w:t xml:space="preserve">e projet </w:t>
      </w:r>
      <w:r w:rsidR="00744E0F" w:rsidRPr="003F7035">
        <w:rPr>
          <w:rFonts w:ascii="Times New Roman" w:hAnsi="Times New Roman" w:cs="Times New Roman"/>
          <w:sz w:val="24"/>
          <w:szCs w:val="24"/>
        </w:rPr>
        <w:t>constitutionnel</w:t>
      </w:r>
      <w:r w:rsidR="005E03CD" w:rsidRPr="003F7035">
        <w:rPr>
          <w:rFonts w:ascii="Times New Roman" w:hAnsi="Times New Roman" w:cs="Times New Roman"/>
          <w:sz w:val="24"/>
          <w:szCs w:val="24"/>
        </w:rPr>
        <w:t xml:space="preserve"> doit reconnaître</w:t>
      </w:r>
      <w:r w:rsidR="003D0A7A" w:rsidRPr="003F7035">
        <w:rPr>
          <w:rFonts w:ascii="Times New Roman" w:hAnsi="Times New Roman" w:cs="Times New Roman"/>
          <w:sz w:val="24"/>
          <w:szCs w:val="24"/>
        </w:rPr>
        <w:t xml:space="preserve"> que </w:t>
      </w:r>
      <w:r w:rsidR="00C36811" w:rsidRPr="003F7035">
        <w:rPr>
          <w:rFonts w:ascii="Times New Roman" w:hAnsi="Times New Roman" w:cs="Times New Roman"/>
          <w:sz w:val="24"/>
          <w:szCs w:val="24"/>
        </w:rPr>
        <w:t xml:space="preserve">« le terrorisme, sous </w:t>
      </w:r>
      <w:r w:rsidR="005E03CD" w:rsidRPr="003F7035">
        <w:rPr>
          <w:rFonts w:ascii="Times New Roman" w:hAnsi="Times New Roman" w:cs="Times New Roman"/>
          <w:sz w:val="24"/>
          <w:szCs w:val="24"/>
        </w:rPr>
        <w:t>toutes ses formes</w:t>
      </w:r>
      <w:r w:rsidR="00C36811" w:rsidRPr="003F7035">
        <w:rPr>
          <w:rFonts w:ascii="Times New Roman" w:hAnsi="Times New Roman" w:cs="Times New Roman"/>
          <w:sz w:val="24"/>
          <w:szCs w:val="24"/>
        </w:rPr>
        <w:t xml:space="preserve">, est par essence contraire aux droits </w:t>
      </w:r>
      <w:r w:rsidR="00744E0F" w:rsidRPr="003F7035">
        <w:rPr>
          <w:rFonts w:ascii="Times New Roman" w:hAnsi="Times New Roman" w:cs="Times New Roman"/>
          <w:sz w:val="24"/>
          <w:szCs w:val="24"/>
        </w:rPr>
        <w:t>de l’homme</w:t>
      </w:r>
      <w:r w:rsidR="00C36811" w:rsidRPr="003F7035">
        <w:rPr>
          <w:rFonts w:ascii="Times New Roman" w:hAnsi="Times New Roman" w:cs="Times New Roman"/>
          <w:sz w:val="24"/>
          <w:szCs w:val="24"/>
        </w:rPr>
        <w:t> ».</w:t>
      </w:r>
      <w:r w:rsidR="003D0A7A" w:rsidRPr="003F7035">
        <w:rPr>
          <w:rFonts w:ascii="Times New Roman" w:hAnsi="Times New Roman" w:cs="Times New Roman"/>
          <w:sz w:val="24"/>
          <w:szCs w:val="24"/>
        </w:rPr>
        <w:t xml:space="preserve"> </w:t>
      </w:r>
      <w:r w:rsidR="00B45537" w:rsidRPr="003F7035">
        <w:rPr>
          <w:rFonts w:ascii="Times New Roman" w:hAnsi="Times New Roman" w:cs="Times New Roman"/>
          <w:sz w:val="24"/>
          <w:szCs w:val="24"/>
        </w:rPr>
        <w:t>Dans la mesure où a</w:t>
      </w:r>
      <w:r w:rsidR="003D0A7A" w:rsidRPr="003F7035">
        <w:rPr>
          <w:rFonts w:ascii="Times New Roman" w:hAnsi="Times New Roman" w:cs="Times New Roman"/>
          <w:sz w:val="24"/>
          <w:szCs w:val="24"/>
        </w:rPr>
        <w:t xml:space="preserve">ucune définition n’est donnée du terrorisme, </w:t>
      </w:r>
      <w:r w:rsidR="00B45537" w:rsidRPr="003F7035">
        <w:rPr>
          <w:rFonts w:ascii="Times New Roman" w:hAnsi="Times New Roman" w:cs="Times New Roman"/>
          <w:sz w:val="24"/>
          <w:szCs w:val="24"/>
        </w:rPr>
        <w:t xml:space="preserve">le « sous </w:t>
      </w:r>
      <w:r w:rsidR="005E03CD" w:rsidRPr="003F7035">
        <w:rPr>
          <w:rFonts w:ascii="Times New Roman" w:hAnsi="Times New Roman" w:cs="Times New Roman"/>
          <w:sz w:val="24"/>
          <w:szCs w:val="24"/>
        </w:rPr>
        <w:t>toutes ses</w:t>
      </w:r>
      <w:r w:rsidR="00B45537" w:rsidRPr="003F7035">
        <w:rPr>
          <w:rFonts w:ascii="Times New Roman" w:hAnsi="Times New Roman" w:cs="Times New Roman"/>
          <w:sz w:val="24"/>
          <w:szCs w:val="24"/>
        </w:rPr>
        <w:t xml:space="preserve"> forme</w:t>
      </w:r>
      <w:r w:rsidR="005E03CD" w:rsidRPr="003F7035">
        <w:rPr>
          <w:rFonts w:ascii="Times New Roman" w:hAnsi="Times New Roman" w:cs="Times New Roman"/>
          <w:sz w:val="24"/>
          <w:szCs w:val="24"/>
        </w:rPr>
        <w:t>s</w:t>
      </w:r>
      <w:r w:rsidR="00B45537" w:rsidRPr="003F7035">
        <w:rPr>
          <w:rFonts w:ascii="Times New Roman" w:hAnsi="Times New Roman" w:cs="Times New Roman"/>
          <w:sz w:val="24"/>
          <w:szCs w:val="24"/>
        </w:rPr>
        <w:t xml:space="preserve"> » ne laisse pas d’inquiéter : l’indétermination pourrait ainsi justifier une acception élastique autorisant l’inclusion de tout acte de résistance (des Mapuche ?) à l’Etat central dans la catégorie de « terrorisme ». </w:t>
      </w:r>
      <w:r w:rsidR="003D0A7A" w:rsidRPr="003F7035">
        <w:rPr>
          <w:rFonts w:ascii="Times New Roman" w:hAnsi="Times New Roman" w:cs="Times New Roman"/>
          <w:sz w:val="24"/>
          <w:szCs w:val="24"/>
        </w:rPr>
        <w:t xml:space="preserve"> </w:t>
      </w:r>
      <w:r w:rsidR="00B45537" w:rsidRPr="003F7035">
        <w:rPr>
          <w:rFonts w:ascii="Times New Roman" w:hAnsi="Times New Roman" w:cs="Times New Roman"/>
          <w:sz w:val="24"/>
          <w:szCs w:val="24"/>
        </w:rPr>
        <w:t xml:space="preserve">Dans ce contexte, </w:t>
      </w:r>
      <w:r w:rsidR="003D0A7A" w:rsidRPr="003F7035">
        <w:rPr>
          <w:rFonts w:ascii="Times New Roman" w:hAnsi="Times New Roman" w:cs="Times New Roman"/>
          <w:sz w:val="24"/>
          <w:szCs w:val="24"/>
        </w:rPr>
        <w:t xml:space="preserve">la souveraineté </w:t>
      </w:r>
      <w:r w:rsidR="00A37C75" w:rsidRPr="003F7035">
        <w:rPr>
          <w:rFonts w:ascii="Times New Roman" w:hAnsi="Times New Roman" w:cs="Times New Roman"/>
          <w:sz w:val="24"/>
          <w:szCs w:val="24"/>
        </w:rPr>
        <w:t>limitée par les droits humains</w:t>
      </w:r>
      <w:r w:rsidR="00F631E6" w:rsidRPr="003F7035">
        <w:rPr>
          <w:rFonts w:ascii="Times New Roman" w:hAnsi="Times New Roman" w:cs="Times New Roman"/>
          <w:sz w:val="24"/>
          <w:szCs w:val="24"/>
        </w:rPr>
        <w:t xml:space="preserve"> acquiert une</w:t>
      </w:r>
      <w:r w:rsidR="003D0A7A" w:rsidRPr="003F7035">
        <w:rPr>
          <w:rFonts w:ascii="Times New Roman" w:hAnsi="Times New Roman" w:cs="Times New Roman"/>
          <w:sz w:val="24"/>
          <w:szCs w:val="24"/>
        </w:rPr>
        <w:t xml:space="preserve"> </w:t>
      </w:r>
      <w:r w:rsidR="00F631E6" w:rsidRPr="003F7035">
        <w:rPr>
          <w:rFonts w:ascii="Times New Roman" w:hAnsi="Times New Roman" w:cs="Times New Roman"/>
          <w:sz w:val="24"/>
          <w:szCs w:val="24"/>
        </w:rPr>
        <w:t>étrange signification : puis</w:t>
      </w:r>
      <w:r w:rsidR="00656606" w:rsidRPr="003F7035">
        <w:rPr>
          <w:rFonts w:ascii="Times New Roman" w:hAnsi="Times New Roman" w:cs="Times New Roman"/>
          <w:sz w:val="24"/>
          <w:szCs w:val="24"/>
        </w:rPr>
        <w:t xml:space="preserve">que le terrorisme est </w:t>
      </w:r>
      <w:r w:rsidR="00744E0F" w:rsidRPr="003F7035">
        <w:rPr>
          <w:rFonts w:ascii="Times New Roman" w:hAnsi="Times New Roman" w:cs="Times New Roman"/>
          <w:sz w:val="24"/>
          <w:szCs w:val="24"/>
        </w:rPr>
        <w:t xml:space="preserve">par essence </w:t>
      </w:r>
      <w:r w:rsidR="00656606" w:rsidRPr="003F7035">
        <w:rPr>
          <w:rFonts w:ascii="Times New Roman" w:hAnsi="Times New Roman" w:cs="Times New Roman"/>
          <w:sz w:val="24"/>
          <w:szCs w:val="24"/>
        </w:rPr>
        <w:t>contraire aux droits humains</w:t>
      </w:r>
      <w:r w:rsidR="00744E0F" w:rsidRPr="003F7035">
        <w:rPr>
          <w:rFonts w:ascii="Times New Roman" w:hAnsi="Times New Roman" w:cs="Times New Roman"/>
          <w:sz w:val="24"/>
          <w:szCs w:val="24"/>
        </w:rPr>
        <w:t>, doit-on comprendre</w:t>
      </w:r>
      <w:r w:rsidR="00F631E6" w:rsidRPr="003F7035">
        <w:rPr>
          <w:rFonts w:ascii="Times New Roman" w:hAnsi="Times New Roman" w:cs="Times New Roman"/>
          <w:sz w:val="24"/>
          <w:szCs w:val="24"/>
        </w:rPr>
        <w:t xml:space="preserve"> que la souveraineté </w:t>
      </w:r>
      <w:r w:rsidR="00FF253C" w:rsidRPr="003F7035">
        <w:rPr>
          <w:rFonts w:ascii="Times New Roman" w:hAnsi="Times New Roman" w:cs="Times New Roman"/>
          <w:sz w:val="24"/>
          <w:szCs w:val="24"/>
        </w:rPr>
        <w:t xml:space="preserve">qui « réside dans le peuple » </w:t>
      </w:r>
      <w:r w:rsidR="00EE0594" w:rsidRPr="003F7035">
        <w:rPr>
          <w:rFonts w:ascii="Times New Roman" w:hAnsi="Times New Roman" w:cs="Times New Roman"/>
          <w:sz w:val="24"/>
          <w:szCs w:val="24"/>
        </w:rPr>
        <w:t>est limitée par la nécessité du combat contre le terrorisme</w:t>
      </w:r>
      <w:r w:rsidR="00744E0F" w:rsidRPr="003F7035">
        <w:rPr>
          <w:rFonts w:ascii="Times New Roman" w:hAnsi="Times New Roman" w:cs="Times New Roman"/>
          <w:sz w:val="24"/>
          <w:szCs w:val="24"/>
        </w:rPr>
        <w:t xml:space="preserve"> ? </w:t>
      </w:r>
      <w:r w:rsidR="00B45537" w:rsidRPr="003F7035">
        <w:rPr>
          <w:rFonts w:ascii="Times New Roman" w:hAnsi="Times New Roman" w:cs="Times New Roman"/>
          <w:sz w:val="24"/>
          <w:szCs w:val="24"/>
        </w:rPr>
        <w:t xml:space="preserve"> </w:t>
      </w:r>
      <w:r w:rsidR="00EC2BCA" w:rsidRPr="003F7035">
        <w:rPr>
          <w:rFonts w:ascii="Times New Roman" w:hAnsi="Times New Roman" w:cs="Times New Roman"/>
          <w:sz w:val="24"/>
          <w:szCs w:val="24"/>
        </w:rPr>
        <w:t>Mais q</w:t>
      </w:r>
      <w:r w:rsidR="00337FC9" w:rsidRPr="003F7035">
        <w:rPr>
          <w:rFonts w:ascii="Times New Roman" w:hAnsi="Times New Roman" w:cs="Times New Roman"/>
          <w:sz w:val="24"/>
          <w:szCs w:val="24"/>
        </w:rPr>
        <w:t>ue faire</w:t>
      </w:r>
      <w:r w:rsidR="007C227C" w:rsidRPr="003F7035">
        <w:rPr>
          <w:rFonts w:ascii="Times New Roman" w:hAnsi="Times New Roman" w:cs="Times New Roman"/>
          <w:sz w:val="24"/>
          <w:szCs w:val="24"/>
        </w:rPr>
        <w:t xml:space="preserve"> lorsque</w:t>
      </w:r>
      <w:r w:rsidR="00284993" w:rsidRPr="003F7035">
        <w:rPr>
          <w:rFonts w:ascii="Times New Roman" w:hAnsi="Times New Roman" w:cs="Times New Roman"/>
          <w:sz w:val="24"/>
          <w:szCs w:val="24"/>
        </w:rPr>
        <w:t xml:space="preserve"> l’Etat</w:t>
      </w:r>
      <w:r w:rsidR="00337FC9" w:rsidRPr="003F7035">
        <w:rPr>
          <w:rFonts w:ascii="Times New Roman" w:hAnsi="Times New Roman" w:cs="Times New Roman"/>
          <w:sz w:val="24"/>
          <w:szCs w:val="24"/>
        </w:rPr>
        <w:t xml:space="preserve"> remet </w:t>
      </w:r>
      <w:r w:rsidR="00DC59BD" w:rsidRPr="003F7035">
        <w:rPr>
          <w:rFonts w:ascii="Times New Roman" w:hAnsi="Times New Roman" w:cs="Times New Roman"/>
          <w:sz w:val="24"/>
          <w:szCs w:val="24"/>
        </w:rPr>
        <w:t xml:space="preserve">lui-même </w:t>
      </w:r>
      <w:r w:rsidR="00337FC9" w:rsidRPr="003F7035">
        <w:rPr>
          <w:rFonts w:ascii="Times New Roman" w:hAnsi="Times New Roman" w:cs="Times New Roman"/>
          <w:sz w:val="24"/>
          <w:szCs w:val="24"/>
        </w:rPr>
        <w:t xml:space="preserve">en cause les </w:t>
      </w:r>
      <w:r w:rsidR="00284993" w:rsidRPr="003F7035">
        <w:rPr>
          <w:rFonts w:ascii="Times New Roman" w:hAnsi="Times New Roman" w:cs="Times New Roman"/>
          <w:sz w:val="24"/>
          <w:szCs w:val="24"/>
        </w:rPr>
        <w:t xml:space="preserve">droits humains les plus </w:t>
      </w:r>
      <w:r w:rsidR="00284993" w:rsidRPr="003F7035">
        <w:rPr>
          <w:rFonts w:ascii="Times New Roman" w:hAnsi="Times New Roman" w:cs="Times New Roman"/>
          <w:sz w:val="24"/>
          <w:szCs w:val="24"/>
        </w:rPr>
        <w:lastRenderedPageBreak/>
        <w:t>élémentaires </w:t>
      </w:r>
      <w:r w:rsidR="007C227C" w:rsidRPr="003F7035">
        <w:rPr>
          <w:rFonts w:ascii="Times New Roman" w:hAnsi="Times New Roman" w:cs="Times New Roman"/>
          <w:sz w:val="24"/>
          <w:szCs w:val="24"/>
        </w:rPr>
        <w:t xml:space="preserve">au nom du </w:t>
      </w:r>
      <w:r w:rsidR="00EB191F" w:rsidRPr="003F7035">
        <w:rPr>
          <w:rFonts w:ascii="Times New Roman" w:hAnsi="Times New Roman" w:cs="Times New Roman"/>
          <w:sz w:val="24"/>
          <w:szCs w:val="24"/>
        </w:rPr>
        <w:t>« </w:t>
      </w:r>
      <w:r w:rsidR="007C227C" w:rsidRPr="003F7035">
        <w:rPr>
          <w:rFonts w:ascii="Times New Roman" w:hAnsi="Times New Roman" w:cs="Times New Roman"/>
          <w:sz w:val="24"/>
          <w:szCs w:val="24"/>
        </w:rPr>
        <w:t>combat contre le terrorisme</w:t>
      </w:r>
      <w:r w:rsidR="00EB191F" w:rsidRPr="003F7035">
        <w:rPr>
          <w:rFonts w:ascii="Times New Roman" w:hAnsi="Times New Roman" w:cs="Times New Roman"/>
          <w:sz w:val="24"/>
          <w:szCs w:val="24"/>
        </w:rPr>
        <w:t> », comme cela est maintes fois arrivé dans l’histoire récente du Chili</w:t>
      </w:r>
      <w:r w:rsidR="007C227C" w:rsidRPr="003F7035">
        <w:rPr>
          <w:rFonts w:ascii="Times New Roman" w:hAnsi="Times New Roman" w:cs="Times New Roman"/>
          <w:sz w:val="24"/>
          <w:szCs w:val="24"/>
        </w:rPr>
        <w:t xml:space="preserve"> </w:t>
      </w:r>
      <w:r w:rsidR="00284993" w:rsidRPr="003F7035">
        <w:rPr>
          <w:rFonts w:ascii="Times New Roman" w:hAnsi="Times New Roman" w:cs="Times New Roman"/>
          <w:sz w:val="24"/>
          <w:szCs w:val="24"/>
        </w:rPr>
        <w:t xml:space="preserve">? </w:t>
      </w:r>
    </w:p>
    <w:p w14:paraId="607986B3" w14:textId="3B178943" w:rsidR="00713794" w:rsidRPr="003F7035" w:rsidRDefault="003D0A7A"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 xml:space="preserve">Le point 5 </w:t>
      </w:r>
      <w:r w:rsidR="00EC2BCA" w:rsidRPr="003F7035">
        <w:rPr>
          <w:rFonts w:ascii="Times New Roman" w:hAnsi="Times New Roman" w:cs="Times New Roman"/>
          <w:sz w:val="24"/>
          <w:szCs w:val="24"/>
        </w:rPr>
        <w:t xml:space="preserve">est à sa manière un </w:t>
      </w:r>
      <w:r w:rsidR="00744E0F" w:rsidRPr="003F7035">
        <w:rPr>
          <w:rFonts w:ascii="Times New Roman" w:hAnsi="Times New Roman" w:cs="Times New Roman"/>
          <w:sz w:val="24"/>
          <w:szCs w:val="24"/>
        </w:rPr>
        <w:t>sommet</w:t>
      </w:r>
      <w:r w:rsidR="00382428" w:rsidRPr="003F7035">
        <w:rPr>
          <w:rFonts w:ascii="Times New Roman" w:hAnsi="Times New Roman" w:cs="Times New Roman"/>
          <w:sz w:val="24"/>
          <w:szCs w:val="24"/>
        </w:rPr>
        <w:t xml:space="preserve"> </w:t>
      </w:r>
      <w:r w:rsidR="00A37C75" w:rsidRPr="003F7035">
        <w:rPr>
          <w:rFonts w:ascii="Times New Roman" w:hAnsi="Times New Roman" w:cs="Times New Roman"/>
          <w:sz w:val="24"/>
          <w:szCs w:val="24"/>
        </w:rPr>
        <w:t>: le Chili est</w:t>
      </w:r>
      <w:r w:rsidR="00337FC9" w:rsidRPr="003F7035">
        <w:rPr>
          <w:rFonts w:ascii="Times New Roman" w:hAnsi="Times New Roman" w:cs="Times New Roman"/>
          <w:sz w:val="24"/>
          <w:szCs w:val="24"/>
        </w:rPr>
        <w:t>, peut-on y lire,</w:t>
      </w:r>
      <w:r w:rsidR="00A37C75" w:rsidRPr="003F7035">
        <w:rPr>
          <w:rFonts w:ascii="Times New Roman" w:hAnsi="Times New Roman" w:cs="Times New Roman"/>
          <w:sz w:val="24"/>
          <w:szCs w:val="24"/>
        </w:rPr>
        <w:t xml:space="preserve"> un </w:t>
      </w:r>
      <w:r w:rsidR="007025E1" w:rsidRPr="003F7035">
        <w:rPr>
          <w:rFonts w:ascii="Times New Roman" w:hAnsi="Times New Roman" w:cs="Times New Roman"/>
          <w:sz w:val="24"/>
          <w:szCs w:val="24"/>
        </w:rPr>
        <w:t xml:space="preserve">« </w:t>
      </w:r>
      <w:r w:rsidR="00A37C75" w:rsidRPr="003F7035">
        <w:rPr>
          <w:rFonts w:ascii="Times New Roman" w:hAnsi="Times New Roman" w:cs="Times New Roman"/>
          <w:sz w:val="24"/>
          <w:szCs w:val="24"/>
        </w:rPr>
        <w:t>Etat social et démocratique de droit</w:t>
      </w:r>
      <w:r w:rsidR="007025E1" w:rsidRPr="003F7035">
        <w:rPr>
          <w:rFonts w:ascii="Times New Roman" w:hAnsi="Times New Roman" w:cs="Times New Roman"/>
          <w:sz w:val="24"/>
          <w:szCs w:val="24"/>
        </w:rPr>
        <w:t> »</w:t>
      </w:r>
      <w:r w:rsidR="007C227C" w:rsidRPr="003F7035">
        <w:rPr>
          <w:rStyle w:val="Appelnotedebasdep"/>
          <w:rFonts w:ascii="Times New Roman" w:hAnsi="Times New Roman" w:cs="Times New Roman"/>
          <w:sz w:val="24"/>
          <w:szCs w:val="24"/>
        </w:rPr>
        <w:footnoteReference w:id="2"/>
      </w:r>
      <w:r w:rsidR="00337FC9" w:rsidRPr="003F7035">
        <w:rPr>
          <w:rFonts w:ascii="Times New Roman" w:hAnsi="Times New Roman" w:cs="Times New Roman"/>
          <w:sz w:val="24"/>
          <w:szCs w:val="24"/>
        </w:rPr>
        <w:t xml:space="preserve">, qui </w:t>
      </w:r>
      <w:r w:rsidR="007C227C" w:rsidRPr="003F7035">
        <w:rPr>
          <w:rFonts w:ascii="Times New Roman" w:hAnsi="Times New Roman" w:cs="Times New Roman"/>
          <w:sz w:val="24"/>
          <w:szCs w:val="24"/>
        </w:rPr>
        <w:t>« </w:t>
      </w:r>
      <w:r w:rsidR="00337FC9" w:rsidRPr="003F7035">
        <w:rPr>
          <w:rFonts w:ascii="Times New Roman" w:hAnsi="Times New Roman" w:cs="Times New Roman"/>
          <w:sz w:val="24"/>
          <w:szCs w:val="24"/>
        </w:rPr>
        <w:t xml:space="preserve">reconnaît </w:t>
      </w:r>
      <w:r w:rsidR="00937ED3" w:rsidRPr="003F7035">
        <w:rPr>
          <w:rFonts w:ascii="Times New Roman" w:hAnsi="Times New Roman" w:cs="Times New Roman"/>
          <w:sz w:val="24"/>
          <w:szCs w:val="24"/>
        </w:rPr>
        <w:t>les droits et libertés fondamentales</w:t>
      </w:r>
      <w:r w:rsidR="007C227C" w:rsidRPr="003F7035">
        <w:rPr>
          <w:rFonts w:ascii="Times New Roman" w:hAnsi="Times New Roman" w:cs="Times New Roman"/>
          <w:sz w:val="24"/>
          <w:szCs w:val="24"/>
        </w:rPr>
        <w:t> »</w:t>
      </w:r>
      <w:r w:rsidR="00937ED3" w:rsidRPr="003F7035">
        <w:rPr>
          <w:rFonts w:ascii="Times New Roman" w:hAnsi="Times New Roman" w:cs="Times New Roman"/>
          <w:sz w:val="24"/>
          <w:szCs w:val="24"/>
        </w:rPr>
        <w:t xml:space="preserve"> et « </w:t>
      </w:r>
      <w:r w:rsidR="00337FC9" w:rsidRPr="003F7035">
        <w:rPr>
          <w:rFonts w:ascii="Times New Roman" w:hAnsi="Times New Roman" w:cs="Times New Roman"/>
          <w:sz w:val="24"/>
          <w:szCs w:val="24"/>
        </w:rPr>
        <w:t>promeut le développement progressif des droits sociaux</w:t>
      </w:r>
      <w:r w:rsidR="00937ED3" w:rsidRPr="003F7035">
        <w:rPr>
          <w:rFonts w:ascii="Times New Roman" w:hAnsi="Times New Roman" w:cs="Times New Roman"/>
          <w:sz w:val="24"/>
          <w:szCs w:val="24"/>
        </w:rPr>
        <w:t>, sous réserve du principe de responsabilité fiscale ; et à travers les institutions étatiques et privées. »</w:t>
      </w:r>
      <w:r w:rsidR="00284993" w:rsidRPr="003F7035">
        <w:rPr>
          <w:rFonts w:ascii="Times New Roman" w:hAnsi="Times New Roman" w:cs="Times New Roman"/>
          <w:sz w:val="24"/>
          <w:szCs w:val="24"/>
        </w:rPr>
        <w:t xml:space="preserve"> </w:t>
      </w:r>
      <w:r w:rsidR="00744E0F" w:rsidRPr="003F7035">
        <w:rPr>
          <w:rFonts w:ascii="Times New Roman" w:hAnsi="Times New Roman" w:cs="Times New Roman"/>
          <w:sz w:val="24"/>
          <w:szCs w:val="24"/>
        </w:rPr>
        <w:t xml:space="preserve">Mais si </w:t>
      </w:r>
      <w:r w:rsidR="00284993" w:rsidRPr="003F7035">
        <w:rPr>
          <w:rFonts w:ascii="Times New Roman" w:hAnsi="Times New Roman" w:cs="Times New Roman"/>
          <w:sz w:val="24"/>
          <w:szCs w:val="24"/>
        </w:rPr>
        <w:t>l’Etat est vraiment un Etat social</w:t>
      </w:r>
      <w:r w:rsidR="0058273A" w:rsidRPr="003F7035">
        <w:rPr>
          <w:rFonts w:ascii="Times New Roman" w:hAnsi="Times New Roman" w:cs="Times New Roman"/>
          <w:sz w:val="24"/>
          <w:szCs w:val="24"/>
        </w:rPr>
        <w:t xml:space="preserve">, il </w:t>
      </w:r>
      <w:r w:rsidR="000B0E7A" w:rsidRPr="003F7035">
        <w:rPr>
          <w:rFonts w:ascii="Times New Roman" w:hAnsi="Times New Roman" w:cs="Times New Roman"/>
          <w:sz w:val="24"/>
          <w:szCs w:val="24"/>
        </w:rPr>
        <w:t xml:space="preserve">doit </w:t>
      </w:r>
      <w:r w:rsidR="007025E1" w:rsidRPr="003F7035">
        <w:rPr>
          <w:rFonts w:ascii="Times New Roman" w:hAnsi="Times New Roman" w:cs="Times New Roman"/>
          <w:sz w:val="24"/>
          <w:szCs w:val="24"/>
        </w:rPr>
        <w:t xml:space="preserve">reconnaître les droits sociaux des citoyens comme des droits inconditionnels, au même titre qu’il reconnaît les droits et libertés fondamentales comme des droits inconditionnels. </w:t>
      </w:r>
      <w:r w:rsidR="003E3AF0" w:rsidRPr="003F7035">
        <w:rPr>
          <w:rFonts w:ascii="Times New Roman" w:hAnsi="Times New Roman" w:cs="Times New Roman"/>
          <w:sz w:val="24"/>
          <w:szCs w:val="24"/>
        </w:rPr>
        <w:t>Dans son point 9 l</w:t>
      </w:r>
      <w:r w:rsidR="00713794" w:rsidRPr="003F7035">
        <w:rPr>
          <w:rFonts w:ascii="Times New Roman" w:hAnsi="Times New Roman" w:cs="Times New Roman"/>
          <w:sz w:val="24"/>
          <w:szCs w:val="24"/>
        </w:rPr>
        <w:t>’Accord fait à ces derniers la part belle : y figurent le droit à la vie</w:t>
      </w:r>
      <w:r w:rsidR="003E3AF0" w:rsidRPr="003F7035">
        <w:rPr>
          <w:rFonts w:ascii="Times New Roman" w:hAnsi="Times New Roman" w:cs="Times New Roman"/>
          <w:sz w:val="24"/>
          <w:szCs w:val="24"/>
        </w:rPr>
        <w:t xml:space="preserve"> (pas le droit à l’avortement),</w:t>
      </w:r>
      <w:r w:rsidR="00713794" w:rsidRPr="003F7035">
        <w:rPr>
          <w:rFonts w:ascii="Times New Roman" w:hAnsi="Times New Roman" w:cs="Times New Roman"/>
          <w:sz w:val="24"/>
          <w:szCs w:val="24"/>
        </w:rPr>
        <w:t xml:space="preserve"> le droit de propriété</w:t>
      </w:r>
      <w:r w:rsidR="00FF253C" w:rsidRPr="003F7035">
        <w:rPr>
          <w:rFonts w:ascii="Times New Roman" w:hAnsi="Times New Roman" w:cs="Times New Roman"/>
          <w:sz w:val="24"/>
          <w:szCs w:val="24"/>
        </w:rPr>
        <w:t xml:space="preserve"> (sans aucune limite due à la fonction sociale de celle-ci)</w:t>
      </w:r>
      <w:r w:rsidR="00713794" w:rsidRPr="003F7035">
        <w:rPr>
          <w:rFonts w:ascii="Times New Roman" w:hAnsi="Times New Roman" w:cs="Times New Roman"/>
          <w:sz w:val="24"/>
          <w:szCs w:val="24"/>
        </w:rPr>
        <w:t>, la liberté de conscien</w:t>
      </w:r>
      <w:r w:rsidR="003E3AF0" w:rsidRPr="003F7035">
        <w:rPr>
          <w:rFonts w:ascii="Times New Roman" w:hAnsi="Times New Roman" w:cs="Times New Roman"/>
          <w:sz w:val="24"/>
          <w:szCs w:val="24"/>
        </w:rPr>
        <w:t xml:space="preserve">ce et de culte, la liberté de l’enseignement et le </w:t>
      </w:r>
      <w:r w:rsidR="00FF253C" w:rsidRPr="003F7035">
        <w:rPr>
          <w:rFonts w:ascii="Times New Roman" w:hAnsi="Times New Roman" w:cs="Times New Roman"/>
          <w:sz w:val="24"/>
          <w:szCs w:val="24"/>
        </w:rPr>
        <w:t>« </w:t>
      </w:r>
      <w:r w:rsidR="003E3AF0" w:rsidRPr="003F7035">
        <w:rPr>
          <w:rFonts w:ascii="Times New Roman" w:hAnsi="Times New Roman" w:cs="Times New Roman"/>
          <w:sz w:val="24"/>
          <w:szCs w:val="24"/>
        </w:rPr>
        <w:t>devoir préférentiel</w:t>
      </w:r>
      <w:r w:rsidR="00FF253C" w:rsidRPr="003F7035">
        <w:rPr>
          <w:rFonts w:ascii="Times New Roman" w:hAnsi="Times New Roman" w:cs="Times New Roman"/>
          <w:sz w:val="24"/>
          <w:szCs w:val="24"/>
        </w:rPr>
        <w:t> »</w:t>
      </w:r>
      <w:r w:rsidR="003E3AF0" w:rsidRPr="003F7035">
        <w:rPr>
          <w:rFonts w:ascii="Times New Roman" w:hAnsi="Times New Roman" w:cs="Times New Roman"/>
          <w:sz w:val="24"/>
          <w:szCs w:val="24"/>
        </w:rPr>
        <w:t xml:space="preserve"> des familles de choisir l’éducation de leurs enfants, « entre autres ». </w:t>
      </w:r>
      <w:r w:rsidR="003C5DFB" w:rsidRPr="003F7035">
        <w:rPr>
          <w:rFonts w:ascii="Times New Roman" w:hAnsi="Times New Roman" w:cs="Times New Roman"/>
          <w:sz w:val="24"/>
          <w:szCs w:val="24"/>
        </w:rPr>
        <w:t>C</w:t>
      </w:r>
      <w:r w:rsidR="00FF253C" w:rsidRPr="003F7035">
        <w:rPr>
          <w:rFonts w:ascii="Times New Roman" w:hAnsi="Times New Roman" w:cs="Times New Roman"/>
          <w:sz w:val="24"/>
          <w:szCs w:val="24"/>
        </w:rPr>
        <w:t xml:space="preserve">ette formulation contournée </w:t>
      </w:r>
      <w:r w:rsidR="003C5DFB" w:rsidRPr="003F7035">
        <w:rPr>
          <w:rFonts w:ascii="Times New Roman" w:hAnsi="Times New Roman" w:cs="Times New Roman"/>
          <w:sz w:val="24"/>
          <w:szCs w:val="24"/>
        </w:rPr>
        <w:t xml:space="preserve">érige les familles en </w:t>
      </w:r>
      <w:r w:rsidR="003E3AF0" w:rsidRPr="003F7035">
        <w:rPr>
          <w:rFonts w:ascii="Times New Roman" w:hAnsi="Times New Roman" w:cs="Times New Roman"/>
          <w:sz w:val="24"/>
          <w:szCs w:val="24"/>
        </w:rPr>
        <w:t xml:space="preserve">sujets de droits </w:t>
      </w:r>
      <w:r w:rsidR="005A3194" w:rsidRPr="003F7035">
        <w:rPr>
          <w:rFonts w:ascii="Times New Roman" w:hAnsi="Times New Roman" w:cs="Times New Roman"/>
          <w:sz w:val="24"/>
          <w:szCs w:val="24"/>
        </w:rPr>
        <w:t>supérieurs</w:t>
      </w:r>
      <w:r w:rsidR="003E3AF0" w:rsidRPr="003F7035">
        <w:rPr>
          <w:rFonts w:ascii="Times New Roman" w:hAnsi="Times New Roman" w:cs="Times New Roman"/>
          <w:sz w:val="24"/>
          <w:szCs w:val="24"/>
        </w:rPr>
        <w:t xml:space="preserve"> </w:t>
      </w:r>
      <w:r w:rsidR="0058322E" w:rsidRPr="003F7035">
        <w:rPr>
          <w:rFonts w:ascii="Times New Roman" w:hAnsi="Times New Roman" w:cs="Times New Roman"/>
          <w:sz w:val="24"/>
          <w:szCs w:val="24"/>
        </w:rPr>
        <w:t>aux</w:t>
      </w:r>
      <w:r w:rsidR="003E3AF0" w:rsidRPr="003F7035">
        <w:rPr>
          <w:rFonts w:ascii="Times New Roman" w:hAnsi="Times New Roman" w:cs="Times New Roman"/>
          <w:sz w:val="24"/>
          <w:szCs w:val="24"/>
        </w:rPr>
        <w:t xml:space="preserve"> droits humains</w:t>
      </w:r>
      <w:r w:rsidR="00C65EBA" w:rsidRPr="003F7035">
        <w:rPr>
          <w:rFonts w:ascii="Times New Roman" w:hAnsi="Times New Roman" w:cs="Times New Roman"/>
          <w:sz w:val="24"/>
          <w:szCs w:val="24"/>
        </w:rPr>
        <w:t xml:space="preserve"> individuels</w:t>
      </w:r>
      <w:r w:rsidR="003C5DFB" w:rsidRPr="003F7035">
        <w:rPr>
          <w:rFonts w:ascii="Times New Roman" w:hAnsi="Times New Roman" w:cs="Times New Roman"/>
          <w:sz w:val="24"/>
          <w:szCs w:val="24"/>
        </w:rPr>
        <w:t xml:space="preserve"> et </w:t>
      </w:r>
      <w:r w:rsidR="00405213" w:rsidRPr="003F7035">
        <w:rPr>
          <w:rFonts w:ascii="Times New Roman" w:hAnsi="Times New Roman" w:cs="Times New Roman"/>
          <w:sz w:val="24"/>
          <w:szCs w:val="24"/>
        </w:rPr>
        <w:t xml:space="preserve">fait </w:t>
      </w:r>
      <w:r w:rsidR="003C5DFB" w:rsidRPr="003F7035">
        <w:rPr>
          <w:rFonts w:ascii="Times New Roman" w:hAnsi="Times New Roman" w:cs="Times New Roman"/>
          <w:sz w:val="24"/>
          <w:szCs w:val="24"/>
        </w:rPr>
        <w:t>du droit des familles un droit inconditionnel</w:t>
      </w:r>
      <w:r w:rsidR="005A3194" w:rsidRPr="003F7035">
        <w:rPr>
          <w:rFonts w:ascii="Times New Roman" w:hAnsi="Times New Roman" w:cs="Times New Roman"/>
          <w:sz w:val="24"/>
          <w:szCs w:val="24"/>
        </w:rPr>
        <w:t>.</w:t>
      </w:r>
      <w:r w:rsidR="003C5DFB" w:rsidRPr="003F7035">
        <w:rPr>
          <w:rFonts w:ascii="Times New Roman" w:hAnsi="Times New Roman" w:cs="Times New Roman"/>
          <w:sz w:val="24"/>
          <w:szCs w:val="24"/>
        </w:rPr>
        <w:t xml:space="preserve"> Les </w:t>
      </w:r>
      <w:r w:rsidR="007025E1" w:rsidRPr="003F7035">
        <w:rPr>
          <w:rFonts w:ascii="Times New Roman" w:hAnsi="Times New Roman" w:cs="Times New Roman"/>
          <w:sz w:val="24"/>
          <w:szCs w:val="24"/>
        </w:rPr>
        <w:t>droits sociaux</w:t>
      </w:r>
      <w:r w:rsidR="003C5DFB" w:rsidRPr="003F7035">
        <w:rPr>
          <w:rFonts w:ascii="Times New Roman" w:hAnsi="Times New Roman" w:cs="Times New Roman"/>
          <w:sz w:val="24"/>
          <w:szCs w:val="24"/>
        </w:rPr>
        <w:t xml:space="preserve"> ne bénéficient pas du même traitement</w:t>
      </w:r>
      <w:r w:rsidR="004A5061" w:rsidRPr="003F7035">
        <w:rPr>
          <w:rFonts w:ascii="Times New Roman" w:hAnsi="Times New Roman" w:cs="Times New Roman"/>
          <w:sz w:val="24"/>
          <w:szCs w:val="24"/>
        </w:rPr>
        <w:t xml:space="preserve"> : </w:t>
      </w:r>
      <w:r w:rsidR="003C5DFB" w:rsidRPr="003F7035">
        <w:rPr>
          <w:rFonts w:ascii="Times New Roman" w:hAnsi="Times New Roman" w:cs="Times New Roman"/>
          <w:sz w:val="24"/>
          <w:szCs w:val="24"/>
        </w:rPr>
        <w:t>ils</w:t>
      </w:r>
      <w:r w:rsidR="004A5061" w:rsidRPr="003F7035">
        <w:rPr>
          <w:rFonts w:ascii="Times New Roman" w:hAnsi="Times New Roman" w:cs="Times New Roman"/>
          <w:sz w:val="24"/>
          <w:szCs w:val="24"/>
        </w:rPr>
        <w:t xml:space="preserve"> ont un caractère conditionnel </w:t>
      </w:r>
      <w:r w:rsidR="003C5DFB" w:rsidRPr="003F7035">
        <w:rPr>
          <w:rFonts w:ascii="Times New Roman" w:hAnsi="Times New Roman" w:cs="Times New Roman"/>
          <w:sz w:val="24"/>
          <w:szCs w:val="24"/>
        </w:rPr>
        <w:t>puisqu’ils</w:t>
      </w:r>
      <w:r w:rsidR="004A5061" w:rsidRPr="003F7035">
        <w:rPr>
          <w:rFonts w:ascii="Times New Roman" w:hAnsi="Times New Roman" w:cs="Times New Roman"/>
          <w:sz w:val="24"/>
          <w:szCs w:val="24"/>
        </w:rPr>
        <w:t xml:space="preserve"> ne valent que dans les limites a priori du </w:t>
      </w:r>
      <w:r w:rsidR="001415E5" w:rsidRPr="003F7035">
        <w:rPr>
          <w:rFonts w:ascii="Times New Roman" w:hAnsi="Times New Roman" w:cs="Times New Roman"/>
          <w:sz w:val="24"/>
          <w:szCs w:val="24"/>
        </w:rPr>
        <w:t>« </w:t>
      </w:r>
      <w:r w:rsidR="004A5061" w:rsidRPr="003F7035">
        <w:rPr>
          <w:rFonts w:ascii="Times New Roman" w:hAnsi="Times New Roman" w:cs="Times New Roman"/>
          <w:sz w:val="24"/>
          <w:szCs w:val="24"/>
        </w:rPr>
        <w:t>principe de responsabilité fiscale</w:t>
      </w:r>
      <w:r w:rsidR="001415E5" w:rsidRPr="003F7035">
        <w:rPr>
          <w:rFonts w:ascii="Times New Roman" w:hAnsi="Times New Roman" w:cs="Times New Roman"/>
          <w:sz w:val="24"/>
          <w:szCs w:val="24"/>
        </w:rPr>
        <w:t xml:space="preserve"> » </w:t>
      </w:r>
      <w:r w:rsidR="001A4A7A" w:rsidRPr="003F7035">
        <w:rPr>
          <w:rFonts w:ascii="Times New Roman" w:hAnsi="Times New Roman" w:cs="Times New Roman"/>
          <w:sz w:val="24"/>
          <w:szCs w:val="24"/>
        </w:rPr>
        <w:t>(équilibre entre recettes et dépenses</w:t>
      </w:r>
      <w:r w:rsidR="00EC2BCA" w:rsidRPr="003F7035">
        <w:rPr>
          <w:rFonts w:ascii="Times New Roman" w:hAnsi="Times New Roman" w:cs="Times New Roman"/>
          <w:sz w:val="24"/>
          <w:szCs w:val="24"/>
        </w:rPr>
        <w:t xml:space="preserve"> publiques</w:t>
      </w:r>
      <w:r w:rsidR="001A4A7A" w:rsidRPr="003F7035">
        <w:rPr>
          <w:rFonts w:ascii="Times New Roman" w:hAnsi="Times New Roman" w:cs="Times New Roman"/>
          <w:sz w:val="24"/>
          <w:szCs w:val="24"/>
        </w:rPr>
        <w:t xml:space="preserve">) </w:t>
      </w:r>
      <w:r w:rsidR="007B0147" w:rsidRPr="003F7035">
        <w:rPr>
          <w:rFonts w:ascii="Times New Roman" w:hAnsi="Times New Roman" w:cs="Times New Roman"/>
          <w:sz w:val="24"/>
          <w:szCs w:val="24"/>
        </w:rPr>
        <w:t xml:space="preserve">qui vaut quant </w:t>
      </w:r>
      <w:r w:rsidR="007E0DE4" w:rsidRPr="003F7035">
        <w:rPr>
          <w:rFonts w:ascii="Times New Roman" w:hAnsi="Times New Roman" w:cs="Times New Roman"/>
          <w:sz w:val="24"/>
          <w:szCs w:val="24"/>
        </w:rPr>
        <w:t xml:space="preserve">à </w:t>
      </w:r>
      <w:r w:rsidR="007B0147" w:rsidRPr="003F7035">
        <w:rPr>
          <w:rFonts w:ascii="Times New Roman" w:hAnsi="Times New Roman" w:cs="Times New Roman"/>
          <w:sz w:val="24"/>
          <w:szCs w:val="24"/>
        </w:rPr>
        <w:t>lui de manière inconditionnelle</w:t>
      </w:r>
      <w:r w:rsidR="003B644D" w:rsidRPr="003F7035">
        <w:rPr>
          <w:rFonts w:ascii="Times New Roman" w:hAnsi="Times New Roman" w:cs="Times New Roman"/>
          <w:sz w:val="24"/>
          <w:szCs w:val="24"/>
        </w:rPr>
        <w:t xml:space="preserve">. </w:t>
      </w:r>
      <w:r w:rsidR="00CA4CE0" w:rsidRPr="003F7035">
        <w:rPr>
          <w:rFonts w:ascii="Times New Roman" w:hAnsi="Times New Roman" w:cs="Times New Roman"/>
          <w:sz w:val="24"/>
          <w:szCs w:val="24"/>
        </w:rPr>
        <w:t xml:space="preserve">En outre, la promotion des droits sociaux est confiée indifféremment aux « institutions étatiques et privées », sans même </w:t>
      </w:r>
      <w:r w:rsidR="001415E5" w:rsidRPr="003F7035">
        <w:rPr>
          <w:rFonts w:ascii="Times New Roman" w:hAnsi="Times New Roman" w:cs="Times New Roman"/>
          <w:sz w:val="24"/>
          <w:szCs w:val="24"/>
        </w:rPr>
        <w:t xml:space="preserve">que soit mentionnée </w:t>
      </w:r>
      <w:r w:rsidR="00CA4CE0" w:rsidRPr="003F7035">
        <w:rPr>
          <w:rFonts w:ascii="Times New Roman" w:hAnsi="Times New Roman" w:cs="Times New Roman"/>
          <w:sz w:val="24"/>
          <w:szCs w:val="24"/>
        </w:rPr>
        <w:t>la place</w:t>
      </w:r>
      <w:r w:rsidR="001415E5" w:rsidRPr="003F7035">
        <w:rPr>
          <w:rFonts w:ascii="Times New Roman" w:hAnsi="Times New Roman" w:cs="Times New Roman"/>
          <w:sz w:val="24"/>
          <w:szCs w:val="24"/>
        </w:rPr>
        <w:t xml:space="preserve"> </w:t>
      </w:r>
      <w:r w:rsidR="00CA4CE0" w:rsidRPr="003F7035">
        <w:rPr>
          <w:rFonts w:ascii="Times New Roman" w:hAnsi="Times New Roman" w:cs="Times New Roman"/>
          <w:sz w:val="24"/>
          <w:szCs w:val="24"/>
        </w:rPr>
        <w:t xml:space="preserve">qui doit revenir aux services publics. </w:t>
      </w:r>
      <w:r w:rsidR="004A5061" w:rsidRPr="003F7035">
        <w:rPr>
          <w:rFonts w:ascii="Times New Roman" w:hAnsi="Times New Roman" w:cs="Times New Roman"/>
          <w:sz w:val="24"/>
          <w:szCs w:val="24"/>
        </w:rPr>
        <w:t xml:space="preserve">Qui ne voit que ce déséquilibre flagrant entre droits dits fondamentaux et droits sociaux </w:t>
      </w:r>
      <w:r w:rsidR="003B644D" w:rsidRPr="003F7035">
        <w:rPr>
          <w:rFonts w:ascii="Times New Roman" w:hAnsi="Times New Roman" w:cs="Times New Roman"/>
          <w:sz w:val="24"/>
          <w:szCs w:val="24"/>
        </w:rPr>
        <w:t xml:space="preserve">est tout à fait dans l’esprit </w:t>
      </w:r>
      <w:r w:rsidR="00656606" w:rsidRPr="003F7035">
        <w:rPr>
          <w:rFonts w:ascii="Times New Roman" w:hAnsi="Times New Roman" w:cs="Times New Roman"/>
          <w:sz w:val="24"/>
          <w:szCs w:val="24"/>
        </w:rPr>
        <w:t>du néolibéralisme ?</w:t>
      </w:r>
      <w:r w:rsidR="00A0699C" w:rsidRPr="003F7035">
        <w:rPr>
          <w:rFonts w:ascii="Times New Roman" w:hAnsi="Times New Roman" w:cs="Times New Roman"/>
          <w:sz w:val="24"/>
          <w:szCs w:val="24"/>
        </w:rPr>
        <w:t xml:space="preserve"> </w:t>
      </w:r>
      <w:r w:rsidR="00EC2BCA" w:rsidRPr="003F7035">
        <w:rPr>
          <w:rFonts w:ascii="Times New Roman" w:hAnsi="Times New Roman" w:cs="Times New Roman"/>
          <w:sz w:val="24"/>
          <w:szCs w:val="24"/>
        </w:rPr>
        <w:t xml:space="preserve">Droit supérieur des familles, droits sociaux limités par l’exigence de la responsabilité fiscale et promus par des institutions privées. </w:t>
      </w:r>
      <w:r w:rsidR="00FF253C" w:rsidRPr="003F7035">
        <w:rPr>
          <w:rFonts w:ascii="Times New Roman" w:hAnsi="Times New Roman" w:cs="Times New Roman"/>
          <w:sz w:val="24"/>
          <w:szCs w:val="24"/>
        </w:rPr>
        <w:t xml:space="preserve">Il n’y a là aucune véritable rupture avec la Constitution de 1980 : </w:t>
      </w:r>
      <w:r w:rsidR="001A4A7A" w:rsidRPr="003F7035">
        <w:rPr>
          <w:rFonts w:ascii="Times New Roman" w:hAnsi="Times New Roman" w:cs="Times New Roman"/>
          <w:sz w:val="24"/>
          <w:szCs w:val="24"/>
        </w:rPr>
        <w:t>Mais u</w:t>
      </w:r>
      <w:r w:rsidR="00A0699C" w:rsidRPr="003F7035">
        <w:rPr>
          <w:rFonts w:ascii="Times New Roman" w:hAnsi="Times New Roman" w:cs="Times New Roman"/>
          <w:sz w:val="24"/>
          <w:szCs w:val="24"/>
        </w:rPr>
        <w:t>n Etat social qui ne reconnaît pas les droits sociaux comme des droits « fondamentaux » mérite-t-il encore ce nom ?</w:t>
      </w:r>
      <w:r w:rsidR="00694DC1" w:rsidRPr="003F7035">
        <w:rPr>
          <w:rFonts w:ascii="Times New Roman" w:hAnsi="Times New Roman" w:cs="Times New Roman"/>
          <w:sz w:val="24"/>
          <w:szCs w:val="24"/>
        </w:rPr>
        <w:t xml:space="preserve"> </w:t>
      </w:r>
      <w:r w:rsidR="00713794" w:rsidRPr="003F7035">
        <w:rPr>
          <w:rFonts w:ascii="Times New Roman" w:hAnsi="Times New Roman" w:cs="Times New Roman"/>
          <w:sz w:val="24"/>
          <w:szCs w:val="24"/>
        </w:rPr>
        <w:t>On comprend mieux pourquoi l</w:t>
      </w:r>
      <w:r w:rsidR="00694DC1" w:rsidRPr="003F7035">
        <w:rPr>
          <w:rFonts w:ascii="Times New Roman" w:hAnsi="Times New Roman" w:cs="Times New Roman"/>
          <w:sz w:val="24"/>
          <w:szCs w:val="24"/>
        </w:rPr>
        <w:t>a « République solidaire »</w:t>
      </w:r>
      <w:r w:rsidR="00713794" w:rsidRPr="003F7035">
        <w:rPr>
          <w:rFonts w:ascii="Times New Roman" w:hAnsi="Times New Roman" w:cs="Times New Roman"/>
          <w:sz w:val="24"/>
          <w:szCs w:val="24"/>
        </w:rPr>
        <w:t xml:space="preserve"> de</w:t>
      </w:r>
      <w:r w:rsidR="00694DC1" w:rsidRPr="003F7035">
        <w:rPr>
          <w:rFonts w:ascii="Times New Roman" w:hAnsi="Times New Roman" w:cs="Times New Roman"/>
          <w:sz w:val="24"/>
          <w:szCs w:val="24"/>
        </w:rPr>
        <w:t xml:space="preserve"> l’art. 1.2 de la PNC est</w:t>
      </w:r>
      <w:r w:rsidR="00A34CE9" w:rsidRPr="003F7035">
        <w:rPr>
          <w:rFonts w:ascii="Times New Roman" w:hAnsi="Times New Roman" w:cs="Times New Roman"/>
          <w:sz w:val="24"/>
          <w:szCs w:val="24"/>
        </w:rPr>
        <w:t xml:space="preserve"> </w:t>
      </w:r>
      <w:r w:rsidR="00694DC1" w:rsidRPr="003F7035">
        <w:rPr>
          <w:rFonts w:ascii="Times New Roman" w:hAnsi="Times New Roman" w:cs="Times New Roman"/>
          <w:sz w:val="24"/>
          <w:szCs w:val="24"/>
        </w:rPr>
        <w:t>passée à la trappe</w:t>
      </w:r>
      <w:r w:rsidR="00713794" w:rsidRPr="003F7035">
        <w:rPr>
          <w:rFonts w:ascii="Times New Roman" w:hAnsi="Times New Roman" w:cs="Times New Roman"/>
          <w:sz w:val="24"/>
          <w:szCs w:val="24"/>
        </w:rPr>
        <w:t xml:space="preserve">. </w:t>
      </w:r>
      <w:r w:rsidR="00E52E27" w:rsidRPr="003F7035">
        <w:rPr>
          <w:rFonts w:ascii="Times New Roman" w:hAnsi="Times New Roman" w:cs="Times New Roman"/>
          <w:sz w:val="24"/>
          <w:szCs w:val="24"/>
        </w:rPr>
        <w:t>Mais un Etat social qui n’est pas fondé sur la principe de solidarité n'est pas social du tout.</w:t>
      </w:r>
    </w:p>
    <w:p w14:paraId="18A9B0D8" w14:textId="123AD72E" w:rsidR="003D0A7A" w:rsidRPr="003F7035" w:rsidRDefault="001415E5"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C</w:t>
      </w:r>
      <w:r w:rsidR="00FF4092" w:rsidRPr="003F7035">
        <w:rPr>
          <w:rFonts w:ascii="Times New Roman" w:hAnsi="Times New Roman" w:cs="Times New Roman"/>
          <w:sz w:val="24"/>
          <w:szCs w:val="24"/>
        </w:rPr>
        <w:t>omme on pouvait s’y attendre</w:t>
      </w:r>
      <w:r w:rsidRPr="003F7035">
        <w:rPr>
          <w:rFonts w:ascii="Times New Roman" w:hAnsi="Times New Roman" w:cs="Times New Roman"/>
          <w:sz w:val="24"/>
          <w:szCs w:val="24"/>
        </w:rPr>
        <w:t xml:space="preserve"> en fonction de ces prémisses</w:t>
      </w:r>
      <w:r w:rsidR="00FF4092" w:rsidRPr="003F7035">
        <w:rPr>
          <w:rFonts w:ascii="Times New Roman" w:hAnsi="Times New Roman" w:cs="Times New Roman"/>
          <w:sz w:val="24"/>
          <w:szCs w:val="24"/>
        </w:rPr>
        <w:t xml:space="preserve">, </w:t>
      </w:r>
      <w:r w:rsidR="00A34CE9" w:rsidRPr="003F7035">
        <w:rPr>
          <w:rFonts w:ascii="Times New Roman" w:hAnsi="Times New Roman" w:cs="Times New Roman"/>
          <w:sz w:val="24"/>
          <w:szCs w:val="24"/>
        </w:rPr>
        <w:t xml:space="preserve">l’Accord du 12 novembre </w:t>
      </w:r>
      <w:r w:rsidR="00FF4092" w:rsidRPr="003F7035">
        <w:rPr>
          <w:rFonts w:ascii="Times New Roman" w:hAnsi="Times New Roman" w:cs="Times New Roman"/>
          <w:sz w:val="24"/>
          <w:szCs w:val="24"/>
        </w:rPr>
        <w:t xml:space="preserve">ne dit mot des droits collectifs. </w:t>
      </w:r>
      <w:r w:rsidR="00713794" w:rsidRPr="003F7035">
        <w:rPr>
          <w:rFonts w:ascii="Times New Roman" w:hAnsi="Times New Roman" w:cs="Times New Roman"/>
          <w:sz w:val="24"/>
          <w:szCs w:val="24"/>
        </w:rPr>
        <w:t>On peut le vérifier en considérant le point 4 de l’Accord </w:t>
      </w:r>
      <w:r w:rsidR="00C65EBA" w:rsidRPr="003F7035">
        <w:rPr>
          <w:rFonts w:ascii="Times New Roman" w:hAnsi="Times New Roman" w:cs="Times New Roman"/>
          <w:sz w:val="24"/>
          <w:szCs w:val="24"/>
        </w:rPr>
        <w:t xml:space="preserve">qui consacre la </w:t>
      </w:r>
      <w:r w:rsidR="00FF253C" w:rsidRPr="003F7035">
        <w:rPr>
          <w:rFonts w:ascii="Times New Roman" w:hAnsi="Times New Roman" w:cs="Times New Roman"/>
          <w:sz w:val="24"/>
          <w:szCs w:val="24"/>
        </w:rPr>
        <w:t xml:space="preserve">nation chilienne </w:t>
      </w:r>
      <w:r w:rsidR="00C65EBA" w:rsidRPr="003F7035">
        <w:rPr>
          <w:rFonts w:ascii="Times New Roman" w:hAnsi="Times New Roman" w:cs="Times New Roman"/>
          <w:sz w:val="24"/>
          <w:szCs w:val="24"/>
        </w:rPr>
        <w:t>comme « </w:t>
      </w:r>
      <w:r w:rsidR="00FF253C" w:rsidRPr="003F7035">
        <w:rPr>
          <w:rFonts w:ascii="Times New Roman" w:hAnsi="Times New Roman" w:cs="Times New Roman"/>
          <w:sz w:val="24"/>
          <w:szCs w:val="24"/>
        </w:rPr>
        <w:t>une et indivisible. »</w:t>
      </w:r>
      <w:r w:rsidR="00FF4092" w:rsidRPr="003F7035">
        <w:rPr>
          <w:rFonts w:ascii="Times New Roman" w:hAnsi="Times New Roman" w:cs="Times New Roman"/>
          <w:sz w:val="24"/>
          <w:szCs w:val="24"/>
        </w:rPr>
        <w:t xml:space="preserve"> Là où la PNC parlait du peuple chilien « composé de diverses nations » et de la « coexistence de divers peuples et nations dans le cadre de l’unité de l’Etat »</w:t>
      </w:r>
      <w:r w:rsidR="00B176D7" w:rsidRPr="003F7035">
        <w:rPr>
          <w:rFonts w:ascii="Times New Roman" w:hAnsi="Times New Roman" w:cs="Times New Roman"/>
          <w:sz w:val="24"/>
          <w:szCs w:val="24"/>
        </w:rPr>
        <w:t xml:space="preserve">, ce qui a pour corollaire la reconnaissance de ce que les droits collectifs </w:t>
      </w:r>
      <w:r w:rsidR="00B176D7" w:rsidRPr="003F7035">
        <w:rPr>
          <w:rFonts w:ascii="Times New Roman" w:hAnsi="Times New Roman" w:cs="Times New Roman"/>
          <w:sz w:val="24"/>
          <w:szCs w:val="24"/>
        </w:rPr>
        <w:lastRenderedPageBreak/>
        <w:t>de ces peuples et nations sont des droits fondamentaux</w:t>
      </w:r>
      <w:r w:rsidR="00EF3696" w:rsidRPr="003F7035">
        <w:rPr>
          <w:rStyle w:val="Appelnotedebasdep"/>
          <w:rFonts w:ascii="Times New Roman" w:hAnsi="Times New Roman" w:cs="Times New Roman"/>
          <w:sz w:val="24"/>
          <w:szCs w:val="24"/>
        </w:rPr>
        <w:footnoteReference w:id="3"/>
      </w:r>
      <w:r w:rsidR="00B176D7" w:rsidRPr="003F7035">
        <w:rPr>
          <w:rFonts w:ascii="Times New Roman" w:hAnsi="Times New Roman" w:cs="Times New Roman"/>
          <w:sz w:val="24"/>
          <w:szCs w:val="24"/>
        </w:rPr>
        <w:t xml:space="preserve">. L’Accord transfère l’indivisibilité du </w:t>
      </w:r>
      <w:r w:rsidR="001218E9" w:rsidRPr="003F7035">
        <w:rPr>
          <w:rFonts w:ascii="Times New Roman" w:hAnsi="Times New Roman" w:cs="Times New Roman"/>
          <w:sz w:val="24"/>
          <w:szCs w:val="24"/>
        </w:rPr>
        <w:t>« </w:t>
      </w:r>
      <w:r w:rsidR="00B176D7" w:rsidRPr="003F7035">
        <w:rPr>
          <w:rFonts w:ascii="Times New Roman" w:hAnsi="Times New Roman" w:cs="Times New Roman"/>
          <w:sz w:val="24"/>
          <w:szCs w:val="24"/>
        </w:rPr>
        <w:t>territoire</w:t>
      </w:r>
      <w:r w:rsidR="001218E9" w:rsidRPr="003F7035">
        <w:rPr>
          <w:rFonts w:ascii="Times New Roman" w:hAnsi="Times New Roman" w:cs="Times New Roman"/>
          <w:sz w:val="24"/>
          <w:szCs w:val="24"/>
        </w:rPr>
        <w:t> »</w:t>
      </w:r>
      <w:r w:rsidR="00B176D7" w:rsidRPr="003F7035">
        <w:rPr>
          <w:rFonts w:ascii="Times New Roman" w:hAnsi="Times New Roman" w:cs="Times New Roman"/>
          <w:sz w:val="24"/>
          <w:szCs w:val="24"/>
        </w:rPr>
        <w:t xml:space="preserve"> </w:t>
      </w:r>
      <w:r w:rsidR="001218E9" w:rsidRPr="003F7035">
        <w:rPr>
          <w:rFonts w:ascii="Times New Roman" w:hAnsi="Times New Roman" w:cs="Times New Roman"/>
          <w:sz w:val="24"/>
          <w:szCs w:val="24"/>
        </w:rPr>
        <w:t>(art. 3</w:t>
      </w:r>
      <w:r w:rsidR="0058322E" w:rsidRPr="003F7035">
        <w:rPr>
          <w:rFonts w:ascii="Times New Roman" w:hAnsi="Times New Roman" w:cs="Times New Roman"/>
          <w:sz w:val="24"/>
          <w:szCs w:val="24"/>
        </w:rPr>
        <w:t xml:space="preserve"> de la PNC</w:t>
      </w:r>
      <w:r w:rsidR="001218E9" w:rsidRPr="003F7035">
        <w:rPr>
          <w:rFonts w:ascii="Times New Roman" w:hAnsi="Times New Roman" w:cs="Times New Roman"/>
          <w:sz w:val="24"/>
          <w:szCs w:val="24"/>
        </w:rPr>
        <w:t xml:space="preserve">) </w:t>
      </w:r>
      <w:r w:rsidR="00B176D7" w:rsidRPr="003F7035">
        <w:rPr>
          <w:rFonts w:ascii="Times New Roman" w:hAnsi="Times New Roman" w:cs="Times New Roman"/>
          <w:sz w:val="24"/>
          <w:szCs w:val="24"/>
        </w:rPr>
        <w:t xml:space="preserve">à la </w:t>
      </w:r>
      <w:r w:rsidR="001218E9" w:rsidRPr="003F7035">
        <w:rPr>
          <w:rFonts w:ascii="Times New Roman" w:hAnsi="Times New Roman" w:cs="Times New Roman"/>
          <w:sz w:val="24"/>
          <w:szCs w:val="24"/>
        </w:rPr>
        <w:t>« </w:t>
      </w:r>
      <w:r w:rsidR="00B176D7" w:rsidRPr="003F7035">
        <w:rPr>
          <w:rFonts w:ascii="Times New Roman" w:hAnsi="Times New Roman" w:cs="Times New Roman"/>
          <w:sz w:val="24"/>
          <w:szCs w:val="24"/>
        </w:rPr>
        <w:t>nation</w:t>
      </w:r>
      <w:r w:rsidR="001218E9" w:rsidRPr="003F7035">
        <w:rPr>
          <w:rFonts w:ascii="Times New Roman" w:hAnsi="Times New Roman" w:cs="Times New Roman"/>
          <w:sz w:val="24"/>
          <w:szCs w:val="24"/>
        </w:rPr>
        <w:t> »</w:t>
      </w:r>
      <w:r w:rsidR="0058322E" w:rsidRPr="003F7035">
        <w:rPr>
          <w:rFonts w:ascii="Times New Roman" w:hAnsi="Times New Roman" w:cs="Times New Roman"/>
          <w:sz w:val="24"/>
          <w:szCs w:val="24"/>
        </w:rPr>
        <w:t xml:space="preserve"> (point 4)</w:t>
      </w:r>
      <w:r w:rsidR="00B176D7" w:rsidRPr="003F7035">
        <w:rPr>
          <w:rFonts w:ascii="Times New Roman" w:hAnsi="Times New Roman" w:cs="Times New Roman"/>
          <w:sz w:val="24"/>
          <w:szCs w:val="24"/>
        </w:rPr>
        <w:t xml:space="preserve">, ce qui a pour </w:t>
      </w:r>
      <w:r w:rsidR="005A3194" w:rsidRPr="003F7035">
        <w:rPr>
          <w:rFonts w:ascii="Times New Roman" w:hAnsi="Times New Roman" w:cs="Times New Roman"/>
          <w:sz w:val="24"/>
          <w:szCs w:val="24"/>
        </w:rPr>
        <w:t xml:space="preserve">unique </w:t>
      </w:r>
      <w:r w:rsidR="00B176D7" w:rsidRPr="003F7035">
        <w:rPr>
          <w:rFonts w:ascii="Times New Roman" w:hAnsi="Times New Roman" w:cs="Times New Roman"/>
          <w:sz w:val="24"/>
          <w:szCs w:val="24"/>
        </w:rPr>
        <w:t xml:space="preserve">fonction d’exclure </w:t>
      </w:r>
      <w:r w:rsidR="001218E9" w:rsidRPr="003F7035">
        <w:rPr>
          <w:rFonts w:ascii="Times New Roman" w:hAnsi="Times New Roman" w:cs="Times New Roman"/>
          <w:sz w:val="24"/>
          <w:szCs w:val="24"/>
        </w:rPr>
        <w:t xml:space="preserve">toute diversité interne et </w:t>
      </w:r>
      <w:r w:rsidR="00EC2BCA" w:rsidRPr="003F7035">
        <w:rPr>
          <w:rFonts w:ascii="Times New Roman" w:hAnsi="Times New Roman" w:cs="Times New Roman"/>
          <w:sz w:val="24"/>
          <w:szCs w:val="24"/>
        </w:rPr>
        <w:t>donc</w:t>
      </w:r>
      <w:r w:rsidR="001218E9" w:rsidRPr="003F7035">
        <w:rPr>
          <w:rFonts w:ascii="Times New Roman" w:hAnsi="Times New Roman" w:cs="Times New Roman"/>
          <w:sz w:val="24"/>
          <w:szCs w:val="24"/>
        </w:rPr>
        <w:t xml:space="preserve"> </w:t>
      </w:r>
      <w:r w:rsidR="005A3194" w:rsidRPr="003F7035">
        <w:rPr>
          <w:rFonts w:ascii="Times New Roman" w:hAnsi="Times New Roman" w:cs="Times New Roman"/>
          <w:sz w:val="24"/>
          <w:szCs w:val="24"/>
        </w:rPr>
        <w:t>la reconnaissance de</w:t>
      </w:r>
      <w:r w:rsidR="0058322E" w:rsidRPr="003F7035">
        <w:rPr>
          <w:rFonts w:ascii="Times New Roman" w:hAnsi="Times New Roman" w:cs="Times New Roman"/>
          <w:sz w:val="24"/>
          <w:szCs w:val="24"/>
        </w:rPr>
        <w:t xml:space="preserve"> leurs</w:t>
      </w:r>
      <w:r w:rsidR="005A3194" w:rsidRPr="003F7035">
        <w:rPr>
          <w:rFonts w:ascii="Times New Roman" w:hAnsi="Times New Roman" w:cs="Times New Roman"/>
          <w:sz w:val="24"/>
          <w:szCs w:val="24"/>
        </w:rPr>
        <w:t xml:space="preserve"> droits collectifs. Les droits reconnus à ces peuples sont</w:t>
      </w:r>
      <w:r w:rsidR="001218E9" w:rsidRPr="003F7035">
        <w:rPr>
          <w:rFonts w:ascii="Times New Roman" w:hAnsi="Times New Roman" w:cs="Times New Roman"/>
          <w:sz w:val="24"/>
          <w:szCs w:val="24"/>
        </w:rPr>
        <w:t xml:space="preserve"> ramenés à</w:t>
      </w:r>
      <w:r w:rsidR="005A3194" w:rsidRPr="003F7035">
        <w:rPr>
          <w:rFonts w:ascii="Times New Roman" w:hAnsi="Times New Roman" w:cs="Times New Roman"/>
          <w:sz w:val="24"/>
          <w:szCs w:val="24"/>
        </w:rPr>
        <w:t xml:space="preserve"> des droits </w:t>
      </w:r>
      <w:r w:rsidR="0058322E" w:rsidRPr="003F7035">
        <w:rPr>
          <w:rFonts w:ascii="Times New Roman" w:hAnsi="Times New Roman" w:cs="Times New Roman"/>
          <w:sz w:val="24"/>
          <w:szCs w:val="24"/>
        </w:rPr>
        <w:t>« </w:t>
      </w:r>
      <w:r w:rsidR="005A3194" w:rsidRPr="003F7035">
        <w:rPr>
          <w:rFonts w:ascii="Times New Roman" w:hAnsi="Times New Roman" w:cs="Times New Roman"/>
          <w:sz w:val="24"/>
          <w:szCs w:val="24"/>
        </w:rPr>
        <w:t>culturels</w:t>
      </w:r>
      <w:r w:rsidR="0058322E" w:rsidRPr="003F7035">
        <w:rPr>
          <w:rFonts w:ascii="Times New Roman" w:hAnsi="Times New Roman" w:cs="Times New Roman"/>
          <w:sz w:val="24"/>
          <w:szCs w:val="24"/>
        </w:rPr>
        <w:t> »</w:t>
      </w:r>
      <w:r w:rsidR="005A3194" w:rsidRPr="003F7035">
        <w:rPr>
          <w:rFonts w:ascii="Times New Roman" w:hAnsi="Times New Roman" w:cs="Times New Roman"/>
          <w:sz w:val="24"/>
          <w:szCs w:val="24"/>
        </w:rPr>
        <w:t>, ce qui perpétue l’état de minorité politique dans lequel ils ont été maintenus par l’Etat chilien depuis 1883.</w:t>
      </w:r>
      <w:r w:rsidR="00D20433" w:rsidRPr="003F7035">
        <w:rPr>
          <w:rFonts w:ascii="Times New Roman" w:hAnsi="Times New Roman" w:cs="Times New Roman"/>
          <w:sz w:val="24"/>
          <w:szCs w:val="24"/>
        </w:rPr>
        <w:t xml:space="preserve"> </w:t>
      </w:r>
      <w:r w:rsidR="00C97CF9" w:rsidRPr="003F7035">
        <w:rPr>
          <w:rFonts w:ascii="Times New Roman" w:hAnsi="Times New Roman" w:cs="Times New Roman"/>
          <w:sz w:val="24"/>
          <w:szCs w:val="24"/>
        </w:rPr>
        <w:t xml:space="preserve">De la même manière, la référence à la parité de genre reste purement rhétorique et n’engage à rien, </w:t>
      </w:r>
      <w:r w:rsidR="00405213" w:rsidRPr="003F7035">
        <w:rPr>
          <w:rFonts w:ascii="Times New Roman" w:hAnsi="Times New Roman" w:cs="Times New Roman"/>
          <w:sz w:val="24"/>
          <w:szCs w:val="24"/>
        </w:rPr>
        <w:t xml:space="preserve">à la différence de la parité comme plancher </w:t>
      </w:r>
      <w:r w:rsidR="002C5C24" w:rsidRPr="003F7035">
        <w:rPr>
          <w:rFonts w:ascii="Times New Roman" w:hAnsi="Times New Roman" w:cs="Times New Roman"/>
          <w:sz w:val="24"/>
          <w:szCs w:val="24"/>
        </w:rPr>
        <w:t xml:space="preserve">(pas de limite supérieure) </w:t>
      </w:r>
      <w:r w:rsidR="00405213" w:rsidRPr="003F7035">
        <w:rPr>
          <w:rFonts w:ascii="Times New Roman" w:hAnsi="Times New Roman" w:cs="Times New Roman"/>
          <w:sz w:val="24"/>
          <w:szCs w:val="24"/>
        </w:rPr>
        <w:t xml:space="preserve">introduite dans la PNC. </w:t>
      </w:r>
      <w:r w:rsidR="000162BF" w:rsidRPr="003F7035">
        <w:rPr>
          <w:rFonts w:ascii="Times New Roman" w:hAnsi="Times New Roman" w:cs="Times New Roman"/>
          <w:sz w:val="24"/>
          <w:szCs w:val="24"/>
        </w:rPr>
        <w:t xml:space="preserve">Là encore, le refus des droits collectifs impose sa logique. </w:t>
      </w:r>
      <w:r w:rsidR="00405213" w:rsidRPr="003F7035">
        <w:rPr>
          <w:rFonts w:ascii="Times New Roman" w:hAnsi="Times New Roman" w:cs="Times New Roman"/>
          <w:sz w:val="24"/>
          <w:szCs w:val="24"/>
        </w:rPr>
        <w:t>On doit se rendre à l’évidence : d</w:t>
      </w:r>
      <w:r w:rsidR="00D20433" w:rsidRPr="003F7035">
        <w:rPr>
          <w:rFonts w:ascii="Times New Roman" w:hAnsi="Times New Roman" w:cs="Times New Roman"/>
          <w:sz w:val="24"/>
          <w:szCs w:val="24"/>
        </w:rPr>
        <w:t xml:space="preserve">es grandes avancées </w:t>
      </w:r>
      <w:r w:rsidR="00405213" w:rsidRPr="003F7035">
        <w:rPr>
          <w:rFonts w:ascii="Times New Roman" w:hAnsi="Times New Roman" w:cs="Times New Roman"/>
          <w:sz w:val="24"/>
          <w:szCs w:val="24"/>
        </w:rPr>
        <w:t>d</w:t>
      </w:r>
      <w:r w:rsidR="002C5C24" w:rsidRPr="003F7035">
        <w:rPr>
          <w:rFonts w:ascii="Times New Roman" w:hAnsi="Times New Roman" w:cs="Times New Roman"/>
          <w:sz w:val="24"/>
          <w:szCs w:val="24"/>
        </w:rPr>
        <w:t>u projet de la Convention</w:t>
      </w:r>
      <w:r w:rsidR="00405213" w:rsidRPr="003F7035">
        <w:rPr>
          <w:rFonts w:ascii="Times New Roman" w:hAnsi="Times New Roman" w:cs="Times New Roman"/>
          <w:sz w:val="24"/>
          <w:szCs w:val="24"/>
        </w:rPr>
        <w:t>, l</w:t>
      </w:r>
      <w:r w:rsidR="00C65EBA" w:rsidRPr="003F7035">
        <w:rPr>
          <w:rFonts w:ascii="Times New Roman" w:hAnsi="Times New Roman" w:cs="Times New Roman"/>
          <w:sz w:val="24"/>
          <w:szCs w:val="24"/>
        </w:rPr>
        <w:t xml:space="preserve">a primauté des droits sociaux sur le pouvoir de l’Etat, </w:t>
      </w:r>
      <w:r w:rsidR="00612DC5" w:rsidRPr="003F7035">
        <w:rPr>
          <w:rFonts w:ascii="Times New Roman" w:hAnsi="Times New Roman" w:cs="Times New Roman"/>
          <w:sz w:val="24"/>
          <w:szCs w:val="24"/>
        </w:rPr>
        <w:t xml:space="preserve">la plurinationalité, </w:t>
      </w:r>
      <w:r w:rsidR="00D20433" w:rsidRPr="003F7035">
        <w:rPr>
          <w:rFonts w:ascii="Times New Roman" w:hAnsi="Times New Roman" w:cs="Times New Roman"/>
          <w:sz w:val="24"/>
          <w:szCs w:val="24"/>
        </w:rPr>
        <w:t xml:space="preserve">le féminisme </w:t>
      </w:r>
      <w:r w:rsidR="00C65EBA" w:rsidRPr="003F7035">
        <w:rPr>
          <w:rFonts w:ascii="Times New Roman" w:hAnsi="Times New Roman" w:cs="Times New Roman"/>
          <w:sz w:val="24"/>
          <w:szCs w:val="24"/>
        </w:rPr>
        <w:t>de l</w:t>
      </w:r>
      <w:proofErr w:type="gramStart"/>
      <w:r w:rsidR="00C65EBA" w:rsidRPr="003F7035">
        <w:rPr>
          <w:rFonts w:ascii="Times New Roman" w:hAnsi="Times New Roman" w:cs="Times New Roman"/>
          <w:sz w:val="24"/>
          <w:szCs w:val="24"/>
        </w:rPr>
        <w:t>’</w:t>
      </w:r>
      <w:r w:rsidR="00EC2BCA" w:rsidRPr="003F7035">
        <w:rPr>
          <w:rFonts w:ascii="Times New Roman" w:hAnsi="Times New Roman" w:cs="Times New Roman"/>
          <w:sz w:val="24"/>
          <w:szCs w:val="24"/>
        </w:rPr>
        <w:t>«</w:t>
      </w:r>
      <w:proofErr w:type="gramEnd"/>
      <w:r w:rsidR="00EC2BCA" w:rsidRPr="003F7035">
        <w:rPr>
          <w:rFonts w:ascii="Times New Roman" w:hAnsi="Times New Roman" w:cs="Times New Roman"/>
          <w:sz w:val="24"/>
          <w:szCs w:val="24"/>
        </w:rPr>
        <w:t> </w:t>
      </w:r>
      <w:r w:rsidR="00C65EBA" w:rsidRPr="003F7035">
        <w:rPr>
          <w:rFonts w:ascii="Times New Roman" w:hAnsi="Times New Roman" w:cs="Times New Roman"/>
          <w:sz w:val="24"/>
          <w:szCs w:val="24"/>
        </w:rPr>
        <w:t>égalité substantielle</w:t>
      </w:r>
      <w:r w:rsidR="00EC2BCA" w:rsidRPr="003F7035">
        <w:rPr>
          <w:rFonts w:ascii="Times New Roman" w:hAnsi="Times New Roman" w:cs="Times New Roman"/>
          <w:sz w:val="24"/>
          <w:szCs w:val="24"/>
        </w:rPr>
        <w:t> »</w:t>
      </w:r>
      <w:r w:rsidR="00C65EBA" w:rsidRPr="003F7035">
        <w:rPr>
          <w:rFonts w:ascii="Times New Roman" w:hAnsi="Times New Roman" w:cs="Times New Roman"/>
          <w:sz w:val="24"/>
          <w:szCs w:val="24"/>
        </w:rPr>
        <w:t xml:space="preserve"> et la reconnaissance des droits de la nature, il ne reste plus </w:t>
      </w:r>
      <w:r w:rsidR="00C65EBA" w:rsidRPr="003F7035">
        <w:rPr>
          <w:rFonts w:ascii="Times New Roman" w:hAnsi="Times New Roman" w:cs="Times New Roman"/>
          <w:i/>
          <w:iCs/>
          <w:sz w:val="24"/>
          <w:szCs w:val="24"/>
        </w:rPr>
        <w:t>rien</w:t>
      </w:r>
      <w:r w:rsidR="00C65EBA" w:rsidRPr="003F7035">
        <w:rPr>
          <w:rFonts w:ascii="Times New Roman" w:hAnsi="Times New Roman" w:cs="Times New Roman"/>
          <w:sz w:val="24"/>
          <w:szCs w:val="24"/>
        </w:rPr>
        <w:t>.</w:t>
      </w:r>
    </w:p>
    <w:p w14:paraId="408B3BB4" w14:textId="2566EA83" w:rsidR="00E52E27" w:rsidRPr="003F7035" w:rsidRDefault="000D46A5" w:rsidP="004833E9">
      <w:pPr>
        <w:spacing w:line="360" w:lineRule="auto"/>
        <w:jc w:val="both"/>
        <w:rPr>
          <w:rFonts w:ascii="Times New Roman" w:hAnsi="Times New Roman" w:cs="Times New Roman"/>
          <w:b/>
          <w:bCs/>
          <w:sz w:val="24"/>
          <w:szCs w:val="24"/>
        </w:rPr>
      </w:pPr>
      <w:r w:rsidRPr="003F7035">
        <w:rPr>
          <w:rFonts w:ascii="Times New Roman" w:hAnsi="Times New Roman" w:cs="Times New Roman"/>
          <w:b/>
          <w:bCs/>
          <w:sz w:val="24"/>
          <w:szCs w:val="24"/>
        </w:rPr>
        <w:t>Un</w:t>
      </w:r>
      <w:r w:rsidR="00E52E27" w:rsidRPr="003F7035">
        <w:rPr>
          <w:rFonts w:ascii="Times New Roman" w:hAnsi="Times New Roman" w:cs="Times New Roman"/>
          <w:b/>
          <w:bCs/>
          <w:sz w:val="24"/>
          <w:szCs w:val="24"/>
        </w:rPr>
        <w:t xml:space="preserve"> processus constitutionnel</w:t>
      </w:r>
      <w:r w:rsidRPr="003F7035">
        <w:rPr>
          <w:rFonts w:ascii="Times New Roman" w:hAnsi="Times New Roman" w:cs="Times New Roman"/>
          <w:b/>
          <w:bCs/>
          <w:sz w:val="24"/>
          <w:szCs w:val="24"/>
        </w:rPr>
        <w:t xml:space="preserve"> </w:t>
      </w:r>
      <w:r w:rsidR="00FC410A" w:rsidRPr="003F7035">
        <w:rPr>
          <w:rFonts w:ascii="Times New Roman" w:hAnsi="Times New Roman" w:cs="Times New Roman"/>
          <w:b/>
          <w:bCs/>
          <w:sz w:val="24"/>
          <w:szCs w:val="24"/>
        </w:rPr>
        <w:t xml:space="preserve">entièrement </w:t>
      </w:r>
      <w:r w:rsidRPr="003F7035">
        <w:rPr>
          <w:rFonts w:ascii="Times New Roman" w:hAnsi="Times New Roman" w:cs="Times New Roman"/>
          <w:b/>
          <w:bCs/>
          <w:sz w:val="24"/>
          <w:szCs w:val="24"/>
        </w:rPr>
        <w:t>confisqué par le Parlement</w:t>
      </w:r>
    </w:p>
    <w:p w14:paraId="4026C161" w14:textId="3F5E6C28" w:rsidR="00CA4CE0" w:rsidRPr="003F7035" w:rsidRDefault="00CA4CE0"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Le 3</w:t>
      </w:r>
      <w:r w:rsidRPr="003F7035">
        <w:rPr>
          <w:rFonts w:ascii="Times New Roman" w:hAnsi="Times New Roman" w:cs="Times New Roman"/>
          <w:sz w:val="24"/>
          <w:szCs w:val="24"/>
          <w:vertAlign w:val="superscript"/>
        </w:rPr>
        <w:t>e</w:t>
      </w:r>
      <w:r w:rsidRPr="003F7035">
        <w:rPr>
          <w:rFonts w:ascii="Times New Roman" w:hAnsi="Times New Roman" w:cs="Times New Roman"/>
          <w:sz w:val="24"/>
          <w:szCs w:val="24"/>
        </w:rPr>
        <w:t xml:space="preserve"> paragraphe de l’Accord </w:t>
      </w:r>
      <w:r w:rsidR="00297691" w:rsidRPr="003F7035">
        <w:rPr>
          <w:rFonts w:ascii="Times New Roman" w:hAnsi="Times New Roman" w:cs="Times New Roman"/>
          <w:sz w:val="24"/>
          <w:szCs w:val="24"/>
        </w:rPr>
        <w:t>révèle</w:t>
      </w:r>
      <w:r w:rsidR="00412B2F" w:rsidRPr="003F7035">
        <w:rPr>
          <w:rFonts w:ascii="Times New Roman" w:hAnsi="Times New Roman" w:cs="Times New Roman"/>
          <w:sz w:val="24"/>
          <w:szCs w:val="24"/>
        </w:rPr>
        <w:t xml:space="preserve"> la conception du processus constituant qui doit être mis en œuvre à partir de ces bases : « Discuter et écrire une Constitution aujourd’hui est important et indispensable et requiert un niveau de professionnalisme, avoir des experts, et doit </w:t>
      </w:r>
      <w:r w:rsidR="00DD1BAF" w:rsidRPr="003F7035">
        <w:rPr>
          <w:rFonts w:ascii="Times New Roman" w:hAnsi="Times New Roman" w:cs="Times New Roman"/>
          <w:sz w:val="24"/>
          <w:szCs w:val="24"/>
        </w:rPr>
        <w:t xml:space="preserve">également être </w:t>
      </w:r>
      <w:r w:rsidR="00412B2F" w:rsidRPr="003F7035">
        <w:rPr>
          <w:rFonts w:ascii="Times New Roman" w:hAnsi="Times New Roman" w:cs="Times New Roman"/>
          <w:sz w:val="24"/>
          <w:szCs w:val="24"/>
        </w:rPr>
        <w:t>fait par un organe autre que le Congrès, avec un dévouement exclusif. »</w:t>
      </w:r>
      <w:r w:rsidR="00004800" w:rsidRPr="003F7035">
        <w:rPr>
          <w:rFonts w:ascii="Times New Roman" w:hAnsi="Times New Roman" w:cs="Times New Roman"/>
          <w:sz w:val="24"/>
          <w:szCs w:val="24"/>
        </w:rPr>
        <w:t xml:space="preserve"> De fait, on doit prêter attention à la place dévolue à l</w:t>
      </w:r>
      <w:r w:rsidR="002A562D" w:rsidRPr="003F7035">
        <w:rPr>
          <w:rFonts w:ascii="Times New Roman" w:hAnsi="Times New Roman" w:cs="Times New Roman"/>
          <w:sz w:val="24"/>
          <w:szCs w:val="24"/>
        </w:rPr>
        <w:t>a commission dénommée</w:t>
      </w:r>
      <w:r w:rsidR="00004800" w:rsidRPr="003F7035">
        <w:rPr>
          <w:rFonts w:ascii="Times New Roman" w:hAnsi="Times New Roman" w:cs="Times New Roman"/>
          <w:sz w:val="24"/>
          <w:szCs w:val="24"/>
        </w:rPr>
        <w:t xml:space="preserve"> </w:t>
      </w:r>
      <w:proofErr w:type="spellStart"/>
      <w:r w:rsidR="00004800" w:rsidRPr="003F7035">
        <w:rPr>
          <w:rFonts w:ascii="Times New Roman" w:hAnsi="Times New Roman" w:cs="Times New Roman"/>
          <w:sz w:val="24"/>
          <w:szCs w:val="24"/>
        </w:rPr>
        <w:t>Comision</w:t>
      </w:r>
      <w:proofErr w:type="spellEnd"/>
      <w:r w:rsidR="00004800" w:rsidRPr="003F7035">
        <w:rPr>
          <w:rFonts w:ascii="Times New Roman" w:hAnsi="Times New Roman" w:cs="Times New Roman"/>
          <w:sz w:val="24"/>
          <w:szCs w:val="24"/>
        </w:rPr>
        <w:t xml:space="preserve"> </w:t>
      </w:r>
      <w:proofErr w:type="spellStart"/>
      <w:r w:rsidR="00004800" w:rsidRPr="003F7035">
        <w:rPr>
          <w:rFonts w:ascii="Times New Roman" w:hAnsi="Times New Roman" w:cs="Times New Roman"/>
          <w:sz w:val="24"/>
          <w:szCs w:val="24"/>
        </w:rPr>
        <w:t>Experta</w:t>
      </w:r>
      <w:proofErr w:type="spellEnd"/>
      <w:r w:rsidR="002A562D" w:rsidRPr="003F7035">
        <w:rPr>
          <w:rFonts w:ascii="Times New Roman" w:hAnsi="Times New Roman" w:cs="Times New Roman"/>
          <w:sz w:val="24"/>
          <w:szCs w:val="24"/>
        </w:rPr>
        <w:t>.</w:t>
      </w:r>
      <w:r w:rsidR="00004800" w:rsidRPr="003F7035">
        <w:rPr>
          <w:rFonts w:ascii="Times New Roman" w:hAnsi="Times New Roman" w:cs="Times New Roman"/>
          <w:sz w:val="24"/>
          <w:szCs w:val="24"/>
        </w:rPr>
        <w:t xml:space="preserve"> </w:t>
      </w:r>
      <w:r w:rsidR="002A562D" w:rsidRPr="003F7035">
        <w:rPr>
          <w:rFonts w:ascii="Times New Roman" w:hAnsi="Times New Roman" w:cs="Times New Roman"/>
          <w:sz w:val="24"/>
          <w:szCs w:val="24"/>
        </w:rPr>
        <w:t>Chargé de rédiger un avant-projet servant de base à la rédaction du nouveau texte, cette commission est composée de 24 personnes aux compétences professionnelles, techniques ou académiques « indiscutables »</w:t>
      </w:r>
      <w:r w:rsidR="00E87598" w:rsidRPr="003F7035">
        <w:rPr>
          <w:rFonts w:ascii="Times New Roman" w:hAnsi="Times New Roman" w:cs="Times New Roman"/>
          <w:sz w:val="24"/>
          <w:szCs w:val="24"/>
        </w:rPr>
        <w:t>, la moitié étant élus par la Chambre des députés, l’autre moitié par le Sénat, proportionnellement à la représentation des partis politiques.</w:t>
      </w:r>
      <w:r w:rsidR="002A562D" w:rsidRPr="003F7035">
        <w:rPr>
          <w:rFonts w:ascii="Times New Roman" w:hAnsi="Times New Roman" w:cs="Times New Roman"/>
          <w:sz w:val="24"/>
          <w:szCs w:val="24"/>
        </w:rPr>
        <w:t xml:space="preserve"> </w:t>
      </w:r>
      <w:r w:rsidR="00004800" w:rsidRPr="003F7035">
        <w:rPr>
          <w:rFonts w:ascii="Times New Roman" w:hAnsi="Times New Roman" w:cs="Times New Roman"/>
          <w:sz w:val="24"/>
          <w:szCs w:val="24"/>
        </w:rPr>
        <w:t xml:space="preserve">Cette promotion politique de l’expertise n’est pas tout à fait une surprise. </w:t>
      </w:r>
      <w:r w:rsidR="005277B0" w:rsidRPr="003F7035">
        <w:rPr>
          <w:rFonts w:ascii="Times New Roman" w:hAnsi="Times New Roman" w:cs="Times New Roman"/>
          <w:sz w:val="24"/>
          <w:szCs w:val="24"/>
        </w:rPr>
        <w:t xml:space="preserve">Le président Boric avait indiqué </w:t>
      </w:r>
      <w:r w:rsidR="00D36599" w:rsidRPr="003F7035">
        <w:rPr>
          <w:rFonts w:ascii="Times New Roman" w:hAnsi="Times New Roman" w:cs="Times New Roman"/>
          <w:sz w:val="24"/>
          <w:szCs w:val="24"/>
        </w:rPr>
        <w:t xml:space="preserve">le 22 septembre </w:t>
      </w:r>
      <w:r w:rsidR="00E87598" w:rsidRPr="003F7035">
        <w:rPr>
          <w:rFonts w:ascii="Times New Roman" w:hAnsi="Times New Roman" w:cs="Times New Roman"/>
          <w:sz w:val="24"/>
          <w:szCs w:val="24"/>
        </w:rPr>
        <w:t xml:space="preserve">que </w:t>
      </w:r>
      <w:r w:rsidR="005277B0" w:rsidRPr="003F7035">
        <w:rPr>
          <w:rFonts w:ascii="Times New Roman" w:hAnsi="Times New Roman" w:cs="Times New Roman"/>
          <w:sz w:val="24"/>
          <w:szCs w:val="24"/>
        </w:rPr>
        <w:t>les</w:t>
      </w:r>
      <w:r w:rsidR="00E87598" w:rsidRPr="003F7035">
        <w:rPr>
          <w:rFonts w:ascii="Times New Roman" w:hAnsi="Times New Roman" w:cs="Times New Roman"/>
          <w:sz w:val="24"/>
          <w:szCs w:val="24"/>
        </w:rPr>
        <w:t xml:space="preserve"> frontières de la nouvelle Constitution devaient plus claires et définies dans la discussion au Congrès en s’appuyant sur un comité d’experts</w:t>
      </w:r>
      <w:r w:rsidR="00D36599" w:rsidRPr="003F7035">
        <w:rPr>
          <w:rStyle w:val="Appelnotedebasdep"/>
          <w:rFonts w:ascii="Times New Roman" w:hAnsi="Times New Roman" w:cs="Times New Roman"/>
          <w:sz w:val="24"/>
          <w:szCs w:val="24"/>
        </w:rPr>
        <w:footnoteReference w:id="4"/>
      </w:r>
      <w:r w:rsidR="00E87598" w:rsidRPr="003F7035">
        <w:rPr>
          <w:rFonts w:ascii="Times New Roman" w:hAnsi="Times New Roman" w:cs="Times New Roman"/>
          <w:sz w:val="24"/>
          <w:szCs w:val="24"/>
        </w:rPr>
        <w:t xml:space="preserve">. L’Accord du 12 décembre consacre </w:t>
      </w:r>
      <w:r w:rsidR="00DA435D" w:rsidRPr="003F7035">
        <w:rPr>
          <w:rFonts w:ascii="Times New Roman" w:hAnsi="Times New Roman" w:cs="Times New Roman"/>
          <w:sz w:val="24"/>
          <w:szCs w:val="24"/>
        </w:rPr>
        <w:t>cette</w:t>
      </w:r>
      <w:r w:rsidR="00A50114" w:rsidRPr="003F7035">
        <w:rPr>
          <w:rFonts w:ascii="Times New Roman" w:hAnsi="Times New Roman" w:cs="Times New Roman"/>
          <w:sz w:val="24"/>
          <w:szCs w:val="24"/>
        </w:rPr>
        <w:t xml:space="preserve"> reconnaissance</w:t>
      </w:r>
      <w:r w:rsidR="00DA435D" w:rsidRPr="003F7035">
        <w:rPr>
          <w:rFonts w:ascii="Times New Roman" w:hAnsi="Times New Roman" w:cs="Times New Roman"/>
          <w:sz w:val="24"/>
          <w:szCs w:val="24"/>
        </w:rPr>
        <w:t xml:space="preserve"> politique de l’expertise censée prémunir le nouveau processus constituant des errements </w:t>
      </w:r>
      <w:r w:rsidR="00D36599" w:rsidRPr="003F7035">
        <w:rPr>
          <w:rFonts w:ascii="Times New Roman" w:hAnsi="Times New Roman" w:cs="Times New Roman"/>
          <w:sz w:val="24"/>
          <w:szCs w:val="24"/>
        </w:rPr>
        <w:t xml:space="preserve">et de l’amateurisme </w:t>
      </w:r>
      <w:r w:rsidR="00DA435D" w:rsidRPr="003F7035">
        <w:rPr>
          <w:rFonts w:ascii="Times New Roman" w:hAnsi="Times New Roman" w:cs="Times New Roman"/>
          <w:sz w:val="24"/>
          <w:szCs w:val="24"/>
        </w:rPr>
        <w:t xml:space="preserve">de l’ancien. </w:t>
      </w:r>
      <w:r w:rsidR="00A50114" w:rsidRPr="003F7035">
        <w:rPr>
          <w:rFonts w:ascii="Times New Roman" w:hAnsi="Times New Roman" w:cs="Times New Roman"/>
          <w:sz w:val="24"/>
          <w:szCs w:val="24"/>
        </w:rPr>
        <w:t xml:space="preserve">Mais alors que Boric </w:t>
      </w:r>
      <w:r w:rsidR="001F7CAE" w:rsidRPr="003F7035">
        <w:rPr>
          <w:rFonts w:ascii="Times New Roman" w:hAnsi="Times New Roman" w:cs="Times New Roman"/>
          <w:sz w:val="24"/>
          <w:szCs w:val="24"/>
        </w:rPr>
        <w:t>avait d’abord</w:t>
      </w:r>
      <w:r w:rsidR="00A50114" w:rsidRPr="003F7035">
        <w:rPr>
          <w:rFonts w:ascii="Times New Roman" w:hAnsi="Times New Roman" w:cs="Times New Roman"/>
          <w:sz w:val="24"/>
          <w:szCs w:val="24"/>
        </w:rPr>
        <w:t xml:space="preserve"> </w:t>
      </w:r>
      <w:r w:rsidR="001F7CAE" w:rsidRPr="003F7035">
        <w:rPr>
          <w:rFonts w:ascii="Times New Roman" w:hAnsi="Times New Roman" w:cs="Times New Roman"/>
          <w:sz w:val="24"/>
          <w:szCs w:val="24"/>
        </w:rPr>
        <w:t xml:space="preserve">refusé </w:t>
      </w:r>
      <w:r w:rsidR="000B0360" w:rsidRPr="003F7035">
        <w:rPr>
          <w:rFonts w:ascii="Times New Roman" w:hAnsi="Times New Roman" w:cs="Times New Roman"/>
          <w:sz w:val="24"/>
          <w:szCs w:val="24"/>
        </w:rPr>
        <w:t>le</w:t>
      </w:r>
      <w:r w:rsidR="00A50114" w:rsidRPr="003F7035">
        <w:rPr>
          <w:rFonts w:ascii="Times New Roman" w:hAnsi="Times New Roman" w:cs="Times New Roman"/>
          <w:sz w:val="24"/>
          <w:szCs w:val="24"/>
        </w:rPr>
        <w:t xml:space="preserve"> Congrès Constituant </w:t>
      </w:r>
      <w:r w:rsidR="000B0360" w:rsidRPr="003F7035">
        <w:rPr>
          <w:rFonts w:ascii="Times New Roman" w:hAnsi="Times New Roman" w:cs="Times New Roman"/>
          <w:sz w:val="24"/>
          <w:szCs w:val="24"/>
        </w:rPr>
        <w:t>préconisé par la droite</w:t>
      </w:r>
      <w:r w:rsidR="001F7CAE" w:rsidRPr="003F7035">
        <w:rPr>
          <w:rFonts w:ascii="Times New Roman" w:hAnsi="Times New Roman" w:cs="Times New Roman"/>
          <w:sz w:val="24"/>
          <w:szCs w:val="24"/>
        </w:rPr>
        <w:t xml:space="preserve"> au nom du respect du mandat donné le 25 octobre 2020 (Constituante élue au suffrage universel direct)</w:t>
      </w:r>
      <w:r w:rsidR="000B0360" w:rsidRPr="003F7035">
        <w:rPr>
          <w:rFonts w:ascii="Times New Roman" w:hAnsi="Times New Roman" w:cs="Times New Roman"/>
          <w:sz w:val="24"/>
          <w:szCs w:val="24"/>
        </w:rPr>
        <w:t xml:space="preserve">, l’Accord du 12 décembre consacre dans les faits la prééminence </w:t>
      </w:r>
      <w:r w:rsidR="000B0360" w:rsidRPr="003F7035">
        <w:rPr>
          <w:rFonts w:ascii="Times New Roman" w:hAnsi="Times New Roman" w:cs="Times New Roman"/>
          <w:i/>
          <w:iCs/>
          <w:sz w:val="24"/>
          <w:szCs w:val="24"/>
        </w:rPr>
        <w:t>absolue</w:t>
      </w:r>
      <w:r w:rsidR="000B0360" w:rsidRPr="003F7035">
        <w:rPr>
          <w:rFonts w:ascii="Times New Roman" w:hAnsi="Times New Roman" w:cs="Times New Roman"/>
          <w:sz w:val="24"/>
          <w:szCs w:val="24"/>
        </w:rPr>
        <w:t xml:space="preserve"> des parlementaires. L</w:t>
      </w:r>
      <w:r w:rsidR="00DA435D" w:rsidRPr="003F7035">
        <w:rPr>
          <w:rFonts w:ascii="Times New Roman" w:hAnsi="Times New Roman" w:cs="Times New Roman"/>
          <w:sz w:val="24"/>
          <w:szCs w:val="24"/>
        </w:rPr>
        <w:t xml:space="preserve">es représentants des partis politiques sont d’emblée installés en position de juges de la qualité d’experts des personnes composant cette </w:t>
      </w:r>
      <w:proofErr w:type="spellStart"/>
      <w:r w:rsidR="000B0360" w:rsidRPr="003F7035">
        <w:rPr>
          <w:rFonts w:ascii="Times New Roman" w:hAnsi="Times New Roman" w:cs="Times New Roman"/>
          <w:sz w:val="24"/>
          <w:szCs w:val="24"/>
        </w:rPr>
        <w:t>C</w:t>
      </w:r>
      <w:r w:rsidR="00DA435D" w:rsidRPr="003F7035">
        <w:rPr>
          <w:rFonts w:ascii="Times New Roman" w:hAnsi="Times New Roman" w:cs="Times New Roman"/>
          <w:sz w:val="24"/>
          <w:szCs w:val="24"/>
        </w:rPr>
        <w:t>o</w:t>
      </w:r>
      <w:r w:rsidR="000B0360" w:rsidRPr="003F7035">
        <w:rPr>
          <w:rFonts w:ascii="Times New Roman" w:hAnsi="Times New Roman" w:cs="Times New Roman"/>
          <w:sz w:val="24"/>
          <w:szCs w:val="24"/>
        </w:rPr>
        <w:t>mision</w:t>
      </w:r>
      <w:proofErr w:type="spellEnd"/>
      <w:r w:rsidR="000B0360" w:rsidRPr="003F7035">
        <w:rPr>
          <w:rFonts w:ascii="Times New Roman" w:hAnsi="Times New Roman" w:cs="Times New Roman"/>
          <w:sz w:val="24"/>
          <w:szCs w:val="24"/>
        </w:rPr>
        <w:t xml:space="preserve"> </w:t>
      </w:r>
      <w:proofErr w:type="spellStart"/>
      <w:r w:rsidR="000B0360" w:rsidRPr="003F7035">
        <w:rPr>
          <w:rFonts w:ascii="Times New Roman" w:hAnsi="Times New Roman" w:cs="Times New Roman"/>
          <w:sz w:val="24"/>
          <w:szCs w:val="24"/>
        </w:rPr>
        <w:t>Experta</w:t>
      </w:r>
      <w:proofErr w:type="spellEnd"/>
      <w:r w:rsidR="00DA435D" w:rsidRPr="003F7035">
        <w:rPr>
          <w:rFonts w:ascii="Times New Roman" w:hAnsi="Times New Roman" w:cs="Times New Roman"/>
          <w:sz w:val="24"/>
          <w:szCs w:val="24"/>
        </w:rPr>
        <w:t xml:space="preserve">. La même remarque s’impose à propos du Comité </w:t>
      </w:r>
      <w:proofErr w:type="spellStart"/>
      <w:r w:rsidR="00D36599" w:rsidRPr="003F7035">
        <w:rPr>
          <w:rFonts w:ascii="Times New Roman" w:hAnsi="Times New Roman" w:cs="Times New Roman"/>
          <w:sz w:val="24"/>
          <w:szCs w:val="24"/>
        </w:rPr>
        <w:t>Técnico</w:t>
      </w:r>
      <w:proofErr w:type="spellEnd"/>
      <w:r w:rsidR="00D36599" w:rsidRPr="003F7035">
        <w:rPr>
          <w:rFonts w:ascii="Times New Roman" w:hAnsi="Times New Roman" w:cs="Times New Roman"/>
          <w:sz w:val="24"/>
          <w:szCs w:val="24"/>
        </w:rPr>
        <w:t xml:space="preserve"> de </w:t>
      </w:r>
      <w:proofErr w:type="spellStart"/>
      <w:r w:rsidR="00D36599" w:rsidRPr="003F7035">
        <w:rPr>
          <w:rFonts w:ascii="Times New Roman" w:hAnsi="Times New Roman" w:cs="Times New Roman"/>
          <w:sz w:val="24"/>
          <w:szCs w:val="24"/>
        </w:rPr>
        <w:t>Admisibilidad</w:t>
      </w:r>
      <w:proofErr w:type="spellEnd"/>
      <w:r w:rsidR="00DA435D" w:rsidRPr="003F7035">
        <w:rPr>
          <w:rFonts w:ascii="Times New Roman" w:hAnsi="Times New Roman" w:cs="Times New Roman"/>
          <w:sz w:val="24"/>
          <w:szCs w:val="24"/>
        </w:rPr>
        <w:t xml:space="preserve"> </w:t>
      </w:r>
      <w:r w:rsidR="00DA435D" w:rsidRPr="003F7035">
        <w:rPr>
          <w:rFonts w:ascii="Times New Roman" w:hAnsi="Times New Roman" w:cs="Times New Roman"/>
          <w:sz w:val="24"/>
          <w:szCs w:val="24"/>
        </w:rPr>
        <w:lastRenderedPageBreak/>
        <w:t xml:space="preserve">composé de 14 personnes </w:t>
      </w:r>
      <w:r w:rsidR="00D36599" w:rsidRPr="003F7035">
        <w:rPr>
          <w:rFonts w:ascii="Times New Roman" w:hAnsi="Times New Roman" w:cs="Times New Roman"/>
          <w:sz w:val="24"/>
          <w:szCs w:val="24"/>
        </w:rPr>
        <w:t xml:space="preserve">choisies par le Sénat à partir d’une proposition faite par la Chambre de députés et chargé de vérifier la conformité des normes aux </w:t>
      </w:r>
      <w:r w:rsidR="00462948" w:rsidRPr="003F7035">
        <w:rPr>
          <w:rFonts w:ascii="Times New Roman" w:hAnsi="Times New Roman" w:cs="Times New Roman"/>
          <w:sz w:val="24"/>
          <w:szCs w:val="24"/>
        </w:rPr>
        <w:t>« </w:t>
      </w:r>
      <w:r w:rsidR="00D36599" w:rsidRPr="003F7035">
        <w:rPr>
          <w:rFonts w:ascii="Times New Roman" w:hAnsi="Times New Roman" w:cs="Times New Roman"/>
          <w:sz w:val="24"/>
          <w:szCs w:val="24"/>
        </w:rPr>
        <w:t>bases institutionnelles</w:t>
      </w:r>
      <w:r w:rsidR="00462948" w:rsidRPr="003F7035">
        <w:rPr>
          <w:rFonts w:ascii="Times New Roman" w:hAnsi="Times New Roman" w:cs="Times New Roman"/>
          <w:sz w:val="24"/>
          <w:szCs w:val="24"/>
        </w:rPr>
        <w:t xml:space="preserve"> ». </w:t>
      </w:r>
      <w:r w:rsidR="000D46A5" w:rsidRPr="003F7035">
        <w:rPr>
          <w:rFonts w:ascii="Times New Roman" w:hAnsi="Times New Roman" w:cs="Times New Roman"/>
          <w:sz w:val="24"/>
          <w:szCs w:val="24"/>
        </w:rPr>
        <w:t xml:space="preserve">Le </w:t>
      </w:r>
      <w:r w:rsidR="00462948" w:rsidRPr="003F7035">
        <w:rPr>
          <w:rFonts w:ascii="Times New Roman" w:hAnsi="Times New Roman" w:cs="Times New Roman"/>
          <w:sz w:val="24"/>
          <w:szCs w:val="24"/>
        </w:rPr>
        <w:t>Conse</w:t>
      </w:r>
      <w:r w:rsidR="00A50114" w:rsidRPr="003F7035">
        <w:rPr>
          <w:rFonts w:ascii="Times New Roman" w:hAnsi="Times New Roman" w:cs="Times New Roman"/>
          <w:sz w:val="24"/>
          <w:szCs w:val="24"/>
        </w:rPr>
        <w:t>jo</w:t>
      </w:r>
      <w:r w:rsidR="00462948" w:rsidRPr="003F7035">
        <w:rPr>
          <w:rFonts w:ascii="Times New Roman" w:hAnsi="Times New Roman" w:cs="Times New Roman"/>
          <w:sz w:val="24"/>
          <w:szCs w:val="24"/>
        </w:rPr>
        <w:t xml:space="preserve"> Constitu</w:t>
      </w:r>
      <w:r w:rsidR="00A50114" w:rsidRPr="003F7035">
        <w:rPr>
          <w:rFonts w:ascii="Times New Roman" w:hAnsi="Times New Roman" w:cs="Times New Roman"/>
          <w:sz w:val="24"/>
          <w:szCs w:val="24"/>
        </w:rPr>
        <w:t>c</w:t>
      </w:r>
      <w:r w:rsidR="00462948" w:rsidRPr="003F7035">
        <w:rPr>
          <w:rFonts w:ascii="Times New Roman" w:hAnsi="Times New Roman" w:cs="Times New Roman"/>
          <w:sz w:val="24"/>
          <w:szCs w:val="24"/>
        </w:rPr>
        <w:t>io</w:t>
      </w:r>
      <w:r w:rsidR="00A50114" w:rsidRPr="003F7035">
        <w:rPr>
          <w:rFonts w:ascii="Times New Roman" w:hAnsi="Times New Roman" w:cs="Times New Roman"/>
          <w:sz w:val="24"/>
          <w:szCs w:val="24"/>
        </w:rPr>
        <w:t>nal</w:t>
      </w:r>
      <w:r w:rsidR="000D46A5" w:rsidRPr="003F7035">
        <w:rPr>
          <w:rFonts w:ascii="Times New Roman" w:hAnsi="Times New Roman" w:cs="Times New Roman"/>
          <w:sz w:val="24"/>
          <w:szCs w:val="24"/>
        </w:rPr>
        <w:t xml:space="preserve"> est le </w:t>
      </w:r>
      <w:r w:rsidR="000D46A5" w:rsidRPr="003F7035">
        <w:rPr>
          <w:rFonts w:ascii="Times New Roman" w:hAnsi="Times New Roman" w:cs="Times New Roman"/>
          <w:i/>
          <w:iCs/>
          <w:sz w:val="24"/>
          <w:szCs w:val="24"/>
        </w:rPr>
        <w:t xml:space="preserve">seul </w:t>
      </w:r>
      <w:r w:rsidR="000D46A5" w:rsidRPr="003F7035">
        <w:rPr>
          <w:rFonts w:ascii="Times New Roman" w:hAnsi="Times New Roman" w:cs="Times New Roman"/>
          <w:sz w:val="24"/>
          <w:szCs w:val="24"/>
        </w:rPr>
        <w:t>des trois organes du processus constituant dont les membres sont élus par un vote populaire direct, mais</w:t>
      </w:r>
      <w:r w:rsidR="00586292" w:rsidRPr="003F7035">
        <w:rPr>
          <w:rFonts w:ascii="Times New Roman" w:hAnsi="Times New Roman" w:cs="Times New Roman"/>
          <w:sz w:val="24"/>
          <w:szCs w:val="24"/>
        </w:rPr>
        <w:t xml:space="preserve"> </w:t>
      </w:r>
      <w:r w:rsidR="000D46A5" w:rsidRPr="003F7035">
        <w:rPr>
          <w:rFonts w:ascii="Times New Roman" w:hAnsi="Times New Roman" w:cs="Times New Roman"/>
          <w:sz w:val="24"/>
          <w:szCs w:val="24"/>
        </w:rPr>
        <w:t xml:space="preserve">à partir de </w:t>
      </w:r>
      <w:r w:rsidR="00FC410A" w:rsidRPr="003F7035">
        <w:rPr>
          <w:rFonts w:ascii="Times New Roman" w:hAnsi="Times New Roman" w:cs="Times New Roman"/>
          <w:sz w:val="24"/>
          <w:szCs w:val="24"/>
        </w:rPr>
        <w:t>« </w:t>
      </w:r>
      <w:r w:rsidR="000D46A5" w:rsidRPr="003F7035">
        <w:rPr>
          <w:rFonts w:ascii="Times New Roman" w:hAnsi="Times New Roman" w:cs="Times New Roman"/>
          <w:sz w:val="24"/>
          <w:szCs w:val="24"/>
        </w:rPr>
        <w:t xml:space="preserve">listes composées </w:t>
      </w:r>
      <w:r w:rsidR="00FC410A" w:rsidRPr="003F7035">
        <w:rPr>
          <w:rFonts w:ascii="Times New Roman" w:hAnsi="Times New Roman" w:cs="Times New Roman"/>
          <w:sz w:val="24"/>
          <w:szCs w:val="24"/>
        </w:rPr>
        <w:t>de</w:t>
      </w:r>
      <w:r w:rsidR="000D46A5" w:rsidRPr="003F7035">
        <w:rPr>
          <w:rFonts w:ascii="Times New Roman" w:hAnsi="Times New Roman" w:cs="Times New Roman"/>
          <w:sz w:val="24"/>
          <w:szCs w:val="24"/>
        </w:rPr>
        <w:t xml:space="preserve"> partis et </w:t>
      </w:r>
      <w:r w:rsidR="00586292" w:rsidRPr="003F7035">
        <w:rPr>
          <w:rFonts w:ascii="Times New Roman" w:hAnsi="Times New Roman" w:cs="Times New Roman"/>
          <w:sz w:val="24"/>
          <w:szCs w:val="24"/>
        </w:rPr>
        <w:t>de pactes entre</w:t>
      </w:r>
      <w:r w:rsidR="000D46A5" w:rsidRPr="003F7035">
        <w:rPr>
          <w:rFonts w:ascii="Times New Roman" w:hAnsi="Times New Roman" w:cs="Times New Roman"/>
          <w:sz w:val="24"/>
          <w:szCs w:val="24"/>
        </w:rPr>
        <w:t xml:space="preserve"> partis</w:t>
      </w:r>
      <w:r w:rsidR="00462948" w:rsidRPr="003F7035">
        <w:rPr>
          <w:rFonts w:ascii="Times New Roman" w:hAnsi="Times New Roman" w:cs="Times New Roman"/>
          <w:sz w:val="24"/>
          <w:szCs w:val="24"/>
        </w:rPr>
        <w:t xml:space="preserve"> </w:t>
      </w:r>
      <w:r w:rsidR="00586292" w:rsidRPr="003F7035">
        <w:rPr>
          <w:rFonts w:ascii="Times New Roman" w:hAnsi="Times New Roman" w:cs="Times New Roman"/>
          <w:sz w:val="24"/>
          <w:szCs w:val="24"/>
        </w:rPr>
        <w:t>qui peuvent inclure des indépendants »</w:t>
      </w:r>
      <w:r w:rsidR="00FC410A" w:rsidRPr="003F7035">
        <w:rPr>
          <w:rStyle w:val="Appelnotedebasdep"/>
          <w:rFonts w:ascii="Times New Roman" w:hAnsi="Times New Roman" w:cs="Times New Roman"/>
          <w:sz w:val="24"/>
          <w:szCs w:val="24"/>
        </w:rPr>
        <w:footnoteReference w:id="5"/>
      </w:r>
      <w:r w:rsidR="00462948" w:rsidRPr="003F7035">
        <w:rPr>
          <w:rFonts w:ascii="Times New Roman" w:hAnsi="Times New Roman" w:cs="Times New Roman"/>
          <w:sz w:val="24"/>
          <w:szCs w:val="24"/>
        </w:rPr>
        <w:t xml:space="preserve">. </w:t>
      </w:r>
      <w:r w:rsidR="00744E0F" w:rsidRPr="003F7035">
        <w:rPr>
          <w:rFonts w:ascii="Times New Roman" w:hAnsi="Times New Roman" w:cs="Times New Roman"/>
          <w:sz w:val="24"/>
          <w:szCs w:val="24"/>
        </w:rPr>
        <w:t>E</w:t>
      </w:r>
      <w:r w:rsidR="000D46A5" w:rsidRPr="003F7035">
        <w:rPr>
          <w:rFonts w:ascii="Times New Roman" w:hAnsi="Times New Roman" w:cs="Times New Roman"/>
          <w:sz w:val="24"/>
          <w:szCs w:val="24"/>
        </w:rPr>
        <w:t>xclus de toutes les phases du processus constituant</w:t>
      </w:r>
      <w:r w:rsidR="00586292" w:rsidRPr="003F7035">
        <w:rPr>
          <w:rFonts w:ascii="Times New Roman" w:hAnsi="Times New Roman" w:cs="Times New Roman"/>
          <w:sz w:val="24"/>
          <w:szCs w:val="24"/>
        </w:rPr>
        <w:t xml:space="preserve">, </w:t>
      </w:r>
      <w:r w:rsidR="00744E0F" w:rsidRPr="003F7035">
        <w:rPr>
          <w:rFonts w:ascii="Times New Roman" w:hAnsi="Times New Roman" w:cs="Times New Roman"/>
          <w:sz w:val="24"/>
          <w:szCs w:val="24"/>
        </w:rPr>
        <w:t>les citoyens</w:t>
      </w:r>
      <w:r w:rsidR="00586292" w:rsidRPr="003F7035">
        <w:rPr>
          <w:rFonts w:ascii="Times New Roman" w:hAnsi="Times New Roman" w:cs="Times New Roman"/>
          <w:sz w:val="24"/>
          <w:szCs w:val="24"/>
        </w:rPr>
        <w:t xml:space="preserve"> n’auront leur mot à dire qu’</w:t>
      </w:r>
      <w:r w:rsidR="00426165" w:rsidRPr="003F7035">
        <w:rPr>
          <w:rFonts w:ascii="Times New Roman" w:hAnsi="Times New Roman" w:cs="Times New Roman"/>
          <w:sz w:val="24"/>
          <w:szCs w:val="24"/>
        </w:rPr>
        <w:t>au moment</w:t>
      </w:r>
      <w:r w:rsidR="00586292" w:rsidRPr="003F7035">
        <w:rPr>
          <w:rFonts w:ascii="Times New Roman" w:hAnsi="Times New Roman" w:cs="Times New Roman"/>
          <w:sz w:val="24"/>
          <w:szCs w:val="24"/>
        </w:rPr>
        <w:t xml:space="preserve"> du plébiscite de ratification</w:t>
      </w:r>
      <w:r w:rsidR="00462948" w:rsidRPr="003F7035">
        <w:rPr>
          <w:rFonts w:ascii="Times New Roman" w:hAnsi="Times New Roman" w:cs="Times New Roman"/>
          <w:sz w:val="24"/>
          <w:szCs w:val="24"/>
        </w:rPr>
        <w:t>.</w:t>
      </w:r>
      <w:r w:rsidR="00104146" w:rsidRPr="003F7035">
        <w:rPr>
          <w:rFonts w:ascii="Times New Roman" w:hAnsi="Times New Roman" w:cs="Times New Roman"/>
          <w:sz w:val="24"/>
          <w:szCs w:val="24"/>
        </w:rPr>
        <w:t xml:space="preserve"> O</w:t>
      </w:r>
      <w:r w:rsidR="00462948" w:rsidRPr="003F7035">
        <w:rPr>
          <w:rFonts w:ascii="Times New Roman" w:hAnsi="Times New Roman" w:cs="Times New Roman"/>
          <w:sz w:val="24"/>
          <w:szCs w:val="24"/>
        </w:rPr>
        <w:t xml:space="preserve">n ne peut </w:t>
      </w:r>
      <w:r w:rsidR="00104146" w:rsidRPr="003F7035">
        <w:rPr>
          <w:rFonts w:ascii="Times New Roman" w:hAnsi="Times New Roman" w:cs="Times New Roman"/>
          <w:sz w:val="24"/>
          <w:szCs w:val="24"/>
        </w:rPr>
        <w:t xml:space="preserve">donc </w:t>
      </w:r>
      <w:r w:rsidR="00462948" w:rsidRPr="003F7035">
        <w:rPr>
          <w:rFonts w:ascii="Times New Roman" w:hAnsi="Times New Roman" w:cs="Times New Roman"/>
          <w:sz w:val="24"/>
          <w:szCs w:val="24"/>
        </w:rPr>
        <w:t xml:space="preserve">que souscrire </w:t>
      </w:r>
      <w:r w:rsidR="0063020A" w:rsidRPr="003F7035">
        <w:rPr>
          <w:rFonts w:ascii="Times New Roman" w:hAnsi="Times New Roman" w:cs="Times New Roman"/>
          <w:sz w:val="24"/>
          <w:szCs w:val="24"/>
        </w:rPr>
        <w:t>à ce</w:t>
      </w:r>
      <w:r w:rsidR="00462948" w:rsidRPr="003F7035">
        <w:rPr>
          <w:rFonts w:ascii="Times New Roman" w:hAnsi="Times New Roman" w:cs="Times New Roman"/>
          <w:sz w:val="24"/>
          <w:szCs w:val="24"/>
        </w:rPr>
        <w:t xml:space="preserve"> jugement </w:t>
      </w:r>
      <w:r w:rsidR="00C65EBA" w:rsidRPr="003F7035">
        <w:rPr>
          <w:rFonts w:ascii="Times New Roman" w:hAnsi="Times New Roman" w:cs="Times New Roman"/>
          <w:sz w:val="24"/>
          <w:szCs w:val="24"/>
        </w:rPr>
        <w:t xml:space="preserve">sur </w:t>
      </w:r>
      <w:r w:rsidR="0063020A" w:rsidRPr="003F7035">
        <w:rPr>
          <w:rFonts w:ascii="Times New Roman" w:hAnsi="Times New Roman" w:cs="Times New Roman"/>
          <w:sz w:val="24"/>
          <w:szCs w:val="24"/>
        </w:rPr>
        <w:t>l</w:t>
      </w:r>
      <w:r w:rsidR="00C65EBA" w:rsidRPr="003F7035">
        <w:rPr>
          <w:rFonts w:ascii="Times New Roman" w:hAnsi="Times New Roman" w:cs="Times New Roman"/>
          <w:sz w:val="24"/>
          <w:szCs w:val="24"/>
        </w:rPr>
        <w:t xml:space="preserve">e processus constitutionnel : </w:t>
      </w:r>
      <w:r w:rsidR="00462948" w:rsidRPr="003F7035">
        <w:rPr>
          <w:rFonts w:ascii="Times New Roman" w:hAnsi="Times New Roman" w:cs="Times New Roman"/>
          <w:sz w:val="24"/>
          <w:szCs w:val="24"/>
        </w:rPr>
        <w:t>« Son itinéraire, s</w:t>
      </w:r>
      <w:r w:rsidR="00104146" w:rsidRPr="003F7035">
        <w:rPr>
          <w:rFonts w:ascii="Times New Roman" w:hAnsi="Times New Roman" w:cs="Times New Roman"/>
          <w:sz w:val="24"/>
          <w:szCs w:val="24"/>
        </w:rPr>
        <w:t>es phases</w:t>
      </w:r>
      <w:r w:rsidR="00586292" w:rsidRPr="003F7035">
        <w:rPr>
          <w:rFonts w:ascii="Times New Roman" w:hAnsi="Times New Roman" w:cs="Times New Roman"/>
          <w:sz w:val="24"/>
          <w:szCs w:val="24"/>
        </w:rPr>
        <w:t xml:space="preserve"> </w:t>
      </w:r>
      <w:r w:rsidR="00462948" w:rsidRPr="003F7035">
        <w:rPr>
          <w:rFonts w:ascii="Times New Roman" w:hAnsi="Times New Roman" w:cs="Times New Roman"/>
          <w:sz w:val="24"/>
          <w:szCs w:val="24"/>
        </w:rPr>
        <w:t>et ses règles sont faits pour que l’élite de la Transition ne perde jamais son contrôle. </w:t>
      </w:r>
      <w:r w:rsidR="000D46A5" w:rsidRPr="003F7035">
        <w:rPr>
          <w:rStyle w:val="Appelnotedebasdep"/>
          <w:rFonts w:ascii="Times New Roman" w:hAnsi="Times New Roman" w:cs="Times New Roman"/>
          <w:sz w:val="24"/>
          <w:szCs w:val="24"/>
        </w:rPr>
        <w:footnoteReference w:id="6"/>
      </w:r>
      <w:r w:rsidR="00462948" w:rsidRPr="003F7035">
        <w:rPr>
          <w:rFonts w:ascii="Times New Roman" w:hAnsi="Times New Roman" w:cs="Times New Roman"/>
          <w:sz w:val="24"/>
          <w:szCs w:val="24"/>
        </w:rPr>
        <w:t xml:space="preserve">» </w:t>
      </w:r>
    </w:p>
    <w:p w14:paraId="7CA95CE3" w14:textId="0A533BAF" w:rsidR="00004800" w:rsidRPr="003F7035" w:rsidRDefault="00EB191F" w:rsidP="004833E9">
      <w:pPr>
        <w:spacing w:line="360" w:lineRule="auto"/>
        <w:jc w:val="both"/>
        <w:rPr>
          <w:rFonts w:ascii="Times New Roman" w:hAnsi="Times New Roman" w:cs="Times New Roman"/>
          <w:b/>
          <w:bCs/>
          <w:sz w:val="24"/>
          <w:szCs w:val="24"/>
        </w:rPr>
      </w:pPr>
      <w:r w:rsidRPr="003F7035">
        <w:rPr>
          <w:rFonts w:ascii="Times New Roman" w:hAnsi="Times New Roman" w:cs="Times New Roman"/>
          <w:b/>
          <w:bCs/>
          <w:sz w:val="24"/>
          <w:szCs w:val="24"/>
        </w:rPr>
        <w:t xml:space="preserve">Rompre </w:t>
      </w:r>
      <w:r w:rsidR="00C97CF9" w:rsidRPr="003F7035">
        <w:rPr>
          <w:rFonts w:ascii="Times New Roman" w:hAnsi="Times New Roman" w:cs="Times New Roman"/>
          <w:b/>
          <w:bCs/>
          <w:sz w:val="24"/>
          <w:szCs w:val="24"/>
        </w:rPr>
        <w:t xml:space="preserve">une fois pour toutes </w:t>
      </w:r>
      <w:r w:rsidRPr="003F7035">
        <w:rPr>
          <w:rFonts w:ascii="Times New Roman" w:hAnsi="Times New Roman" w:cs="Times New Roman"/>
          <w:b/>
          <w:bCs/>
          <w:sz w:val="24"/>
          <w:szCs w:val="24"/>
        </w:rPr>
        <w:t>avec le concertationisme</w:t>
      </w:r>
    </w:p>
    <w:p w14:paraId="0722AE4B" w14:textId="150195C0" w:rsidR="00CA4987" w:rsidRPr="003F7035" w:rsidRDefault="00014061"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En définitive, il</w:t>
      </w:r>
      <w:r w:rsidR="00104146" w:rsidRPr="003F7035">
        <w:rPr>
          <w:rFonts w:ascii="Times New Roman" w:hAnsi="Times New Roman" w:cs="Times New Roman"/>
          <w:sz w:val="24"/>
          <w:szCs w:val="24"/>
        </w:rPr>
        <w:t xml:space="preserve"> existe un rapport étroit entre le contenu des bases constitutionnelles et les formes </w:t>
      </w:r>
      <w:r w:rsidR="001D12DF" w:rsidRPr="003F7035">
        <w:rPr>
          <w:rFonts w:ascii="Times New Roman" w:hAnsi="Times New Roman" w:cs="Times New Roman"/>
          <w:sz w:val="24"/>
          <w:szCs w:val="24"/>
        </w:rPr>
        <w:t xml:space="preserve">institutionnelles </w:t>
      </w:r>
      <w:r w:rsidR="00104146" w:rsidRPr="003F7035">
        <w:rPr>
          <w:rFonts w:ascii="Times New Roman" w:hAnsi="Times New Roman" w:cs="Times New Roman"/>
          <w:sz w:val="24"/>
          <w:szCs w:val="24"/>
        </w:rPr>
        <w:t xml:space="preserve">prévues pour le déroulement du processus constituant : </w:t>
      </w:r>
      <w:r w:rsidR="00B97A6B" w:rsidRPr="003F7035">
        <w:rPr>
          <w:rFonts w:ascii="Times New Roman" w:hAnsi="Times New Roman" w:cs="Times New Roman"/>
          <w:sz w:val="24"/>
          <w:szCs w:val="24"/>
        </w:rPr>
        <w:t>ce contenu</w:t>
      </w:r>
      <w:r w:rsidR="001D12DF" w:rsidRPr="003F7035">
        <w:rPr>
          <w:rFonts w:ascii="Times New Roman" w:hAnsi="Times New Roman" w:cs="Times New Roman"/>
          <w:sz w:val="24"/>
          <w:szCs w:val="24"/>
        </w:rPr>
        <w:t xml:space="preserve"> tout autant que c</w:t>
      </w:r>
      <w:r w:rsidR="00B97A6B" w:rsidRPr="003F7035">
        <w:rPr>
          <w:rFonts w:ascii="Times New Roman" w:hAnsi="Times New Roman" w:cs="Times New Roman"/>
          <w:sz w:val="24"/>
          <w:szCs w:val="24"/>
        </w:rPr>
        <w:t xml:space="preserve">es </w:t>
      </w:r>
      <w:r w:rsidR="001D12DF" w:rsidRPr="003F7035">
        <w:rPr>
          <w:rFonts w:ascii="Times New Roman" w:hAnsi="Times New Roman" w:cs="Times New Roman"/>
          <w:sz w:val="24"/>
          <w:szCs w:val="24"/>
        </w:rPr>
        <w:t>forme</w:t>
      </w:r>
      <w:r w:rsidR="00AC2F96" w:rsidRPr="003F7035">
        <w:rPr>
          <w:rFonts w:ascii="Times New Roman" w:hAnsi="Times New Roman" w:cs="Times New Roman"/>
          <w:sz w:val="24"/>
          <w:szCs w:val="24"/>
        </w:rPr>
        <w:t xml:space="preserve">s </w:t>
      </w:r>
      <w:r w:rsidR="00B97A6B" w:rsidRPr="003F7035">
        <w:rPr>
          <w:rFonts w:ascii="Times New Roman" w:hAnsi="Times New Roman" w:cs="Times New Roman"/>
          <w:sz w:val="24"/>
          <w:szCs w:val="24"/>
        </w:rPr>
        <w:t>sont une violation caractérisée du principe de la délibération collective qui fonde la démocratie</w:t>
      </w:r>
      <w:r w:rsidR="00104146" w:rsidRPr="003F7035">
        <w:rPr>
          <w:rFonts w:ascii="Times New Roman" w:hAnsi="Times New Roman" w:cs="Times New Roman"/>
          <w:sz w:val="24"/>
          <w:szCs w:val="24"/>
        </w:rPr>
        <w:t xml:space="preserve">. </w:t>
      </w:r>
      <w:r w:rsidR="001D12DF" w:rsidRPr="003F7035">
        <w:rPr>
          <w:rFonts w:ascii="Times New Roman" w:hAnsi="Times New Roman" w:cs="Times New Roman"/>
          <w:sz w:val="24"/>
          <w:szCs w:val="24"/>
        </w:rPr>
        <w:t xml:space="preserve">La qualité de cette délibération dépend en premier lieu de </w:t>
      </w:r>
      <w:r w:rsidR="00426165" w:rsidRPr="003F7035">
        <w:rPr>
          <w:rFonts w:ascii="Times New Roman" w:hAnsi="Times New Roman" w:cs="Times New Roman"/>
          <w:sz w:val="24"/>
          <w:szCs w:val="24"/>
        </w:rPr>
        <w:t xml:space="preserve">l’élargissement de </w:t>
      </w:r>
      <w:r w:rsidR="001D12DF" w:rsidRPr="003F7035">
        <w:rPr>
          <w:rFonts w:ascii="Times New Roman" w:hAnsi="Times New Roman" w:cs="Times New Roman"/>
          <w:sz w:val="24"/>
          <w:szCs w:val="24"/>
        </w:rPr>
        <w:t>l’intervention directe des citoyens</w:t>
      </w:r>
      <w:r w:rsidR="00F940FD" w:rsidRPr="003F7035">
        <w:rPr>
          <w:rFonts w:ascii="Times New Roman" w:hAnsi="Times New Roman" w:cs="Times New Roman"/>
          <w:sz w:val="24"/>
          <w:szCs w:val="24"/>
        </w:rPr>
        <w:t>. Voilà pourquoi une bonne délibération collective</w:t>
      </w:r>
      <w:r w:rsidR="001D12DF" w:rsidRPr="003F7035">
        <w:rPr>
          <w:rFonts w:ascii="Times New Roman" w:hAnsi="Times New Roman" w:cs="Times New Roman"/>
          <w:sz w:val="24"/>
          <w:szCs w:val="24"/>
        </w:rPr>
        <w:t xml:space="preserve"> </w:t>
      </w:r>
      <w:r w:rsidR="00F940FD" w:rsidRPr="003F7035">
        <w:rPr>
          <w:rFonts w:ascii="Times New Roman" w:hAnsi="Times New Roman" w:cs="Times New Roman"/>
          <w:sz w:val="24"/>
          <w:szCs w:val="24"/>
        </w:rPr>
        <w:t>est incompatible</w:t>
      </w:r>
      <w:r w:rsidR="0063020A" w:rsidRPr="003F7035">
        <w:rPr>
          <w:rFonts w:ascii="Times New Roman" w:hAnsi="Times New Roman" w:cs="Times New Roman"/>
          <w:sz w:val="24"/>
          <w:szCs w:val="24"/>
        </w:rPr>
        <w:t xml:space="preserve"> a</w:t>
      </w:r>
      <w:r w:rsidR="00F940FD" w:rsidRPr="003F7035">
        <w:rPr>
          <w:rFonts w:ascii="Times New Roman" w:hAnsi="Times New Roman" w:cs="Times New Roman"/>
          <w:sz w:val="24"/>
          <w:szCs w:val="24"/>
        </w:rPr>
        <w:t xml:space="preserve">vec </w:t>
      </w:r>
      <w:r w:rsidR="001D12DF" w:rsidRPr="003F7035">
        <w:rPr>
          <w:rFonts w:ascii="Times New Roman" w:hAnsi="Times New Roman" w:cs="Times New Roman"/>
          <w:sz w:val="24"/>
          <w:szCs w:val="24"/>
        </w:rPr>
        <w:t xml:space="preserve">l’expertocratie </w:t>
      </w:r>
      <w:r w:rsidR="00C97CF9" w:rsidRPr="003F7035">
        <w:rPr>
          <w:rFonts w:ascii="Times New Roman" w:hAnsi="Times New Roman" w:cs="Times New Roman"/>
          <w:sz w:val="24"/>
          <w:szCs w:val="24"/>
        </w:rPr>
        <w:t>comme</w:t>
      </w:r>
      <w:r w:rsidR="001D12DF" w:rsidRPr="003F7035">
        <w:rPr>
          <w:rFonts w:ascii="Times New Roman" w:hAnsi="Times New Roman" w:cs="Times New Roman"/>
          <w:sz w:val="24"/>
          <w:szCs w:val="24"/>
        </w:rPr>
        <w:t xml:space="preserve"> </w:t>
      </w:r>
      <w:r w:rsidR="00F940FD" w:rsidRPr="003F7035">
        <w:rPr>
          <w:rFonts w:ascii="Times New Roman" w:hAnsi="Times New Roman" w:cs="Times New Roman"/>
          <w:sz w:val="24"/>
          <w:szCs w:val="24"/>
        </w:rPr>
        <w:t>avec l</w:t>
      </w:r>
      <w:r w:rsidR="001D12DF" w:rsidRPr="003F7035">
        <w:rPr>
          <w:rFonts w:ascii="Times New Roman" w:hAnsi="Times New Roman" w:cs="Times New Roman"/>
          <w:sz w:val="24"/>
          <w:szCs w:val="24"/>
        </w:rPr>
        <w:t>a mainmise du Parlement.</w:t>
      </w:r>
      <w:r w:rsidR="007C227C" w:rsidRPr="003F7035">
        <w:rPr>
          <w:rFonts w:ascii="Times New Roman" w:hAnsi="Times New Roman" w:cs="Times New Roman"/>
          <w:sz w:val="24"/>
          <w:szCs w:val="24"/>
        </w:rPr>
        <w:t xml:space="preserve"> </w:t>
      </w:r>
      <w:r w:rsidR="00426165" w:rsidRPr="003F7035">
        <w:rPr>
          <w:rFonts w:ascii="Times New Roman" w:hAnsi="Times New Roman" w:cs="Times New Roman"/>
          <w:sz w:val="24"/>
          <w:szCs w:val="24"/>
        </w:rPr>
        <w:t xml:space="preserve">En tournant le dos à ce principe </w:t>
      </w:r>
      <w:r w:rsidR="00F940FD" w:rsidRPr="003F7035">
        <w:rPr>
          <w:rFonts w:ascii="Times New Roman" w:hAnsi="Times New Roman" w:cs="Times New Roman"/>
          <w:sz w:val="24"/>
          <w:szCs w:val="24"/>
        </w:rPr>
        <w:t xml:space="preserve">la gauche </w:t>
      </w:r>
      <w:r w:rsidR="00426165" w:rsidRPr="003F7035">
        <w:rPr>
          <w:rFonts w:ascii="Times New Roman" w:hAnsi="Times New Roman" w:cs="Times New Roman"/>
          <w:sz w:val="24"/>
          <w:szCs w:val="24"/>
        </w:rPr>
        <w:t>a faill</w:t>
      </w:r>
      <w:r w:rsidR="0063020A" w:rsidRPr="003F7035">
        <w:rPr>
          <w:rFonts w:ascii="Times New Roman" w:hAnsi="Times New Roman" w:cs="Times New Roman"/>
          <w:sz w:val="24"/>
          <w:szCs w:val="24"/>
        </w:rPr>
        <w:t xml:space="preserve">i </w:t>
      </w:r>
      <w:r w:rsidR="00426165" w:rsidRPr="003F7035">
        <w:rPr>
          <w:rFonts w:ascii="Times New Roman" w:hAnsi="Times New Roman" w:cs="Times New Roman"/>
          <w:sz w:val="24"/>
          <w:szCs w:val="24"/>
        </w:rPr>
        <w:t>à sa tâche.</w:t>
      </w:r>
      <w:r w:rsidR="004E6685" w:rsidRPr="003F7035">
        <w:rPr>
          <w:rFonts w:ascii="Times New Roman" w:hAnsi="Times New Roman" w:cs="Times New Roman"/>
          <w:sz w:val="24"/>
          <w:szCs w:val="24"/>
        </w:rPr>
        <w:t xml:space="preserve"> Après la défaite, il n’y a eu aucun appel à la mobilisation sociale pour défendre la démocratie du processus constituant de la part </w:t>
      </w:r>
      <w:r w:rsidR="009C6269" w:rsidRPr="003F7035">
        <w:rPr>
          <w:rFonts w:ascii="Times New Roman" w:hAnsi="Times New Roman" w:cs="Times New Roman"/>
          <w:sz w:val="24"/>
          <w:szCs w:val="24"/>
        </w:rPr>
        <w:t xml:space="preserve">de ceux </w:t>
      </w:r>
      <w:r w:rsidR="004E6685" w:rsidRPr="003F7035">
        <w:rPr>
          <w:rFonts w:ascii="Times New Roman" w:hAnsi="Times New Roman" w:cs="Times New Roman"/>
          <w:sz w:val="24"/>
          <w:szCs w:val="24"/>
        </w:rPr>
        <w:t xml:space="preserve">qui </w:t>
      </w:r>
      <w:r w:rsidR="009C6269" w:rsidRPr="003F7035">
        <w:rPr>
          <w:rFonts w:ascii="Times New Roman" w:hAnsi="Times New Roman" w:cs="Times New Roman"/>
          <w:sz w:val="24"/>
          <w:szCs w:val="24"/>
        </w:rPr>
        <w:t>s’étai</w:t>
      </w:r>
      <w:r w:rsidR="0007487D" w:rsidRPr="003F7035">
        <w:rPr>
          <w:rFonts w:ascii="Times New Roman" w:hAnsi="Times New Roman" w:cs="Times New Roman"/>
          <w:sz w:val="24"/>
          <w:szCs w:val="24"/>
        </w:rPr>
        <w:t>en</w:t>
      </w:r>
      <w:r w:rsidR="009C6269" w:rsidRPr="003F7035">
        <w:rPr>
          <w:rFonts w:ascii="Times New Roman" w:hAnsi="Times New Roman" w:cs="Times New Roman"/>
          <w:sz w:val="24"/>
          <w:szCs w:val="24"/>
        </w:rPr>
        <w:t xml:space="preserve">t </w:t>
      </w:r>
      <w:r w:rsidR="0007487D" w:rsidRPr="003F7035">
        <w:rPr>
          <w:rFonts w:ascii="Times New Roman" w:hAnsi="Times New Roman" w:cs="Times New Roman"/>
          <w:sz w:val="24"/>
          <w:szCs w:val="24"/>
        </w:rPr>
        <w:t xml:space="preserve">pourtant </w:t>
      </w:r>
      <w:r w:rsidR="009C6269" w:rsidRPr="003F7035">
        <w:rPr>
          <w:rFonts w:ascii="Times New Roman" w:hAnsi="Times New Roman" w:cs="Times New Roman"/>
          <w:sz w:val="24"/>
          <w:szCs w:val="24"/>
        </w:rPr>
        <w:t xml:space="preserve">prononcés pour </w:t>
      </w:r>
      <w:r w:rsidR="004E6685" w:rsidRPr="003F7035">
        <w:rPr>
          <w:rFonts w:ascii="Times New Roman" w:hAnsi="Times New Roman" w:cs="Times New Roman"/>
          <w:sz w:val="24"/>
          <w:szCs w:val="24"/>
        </w:rPr>
        <w:t>une nouvelle Constituante élue par les citoyens</w:t>
      </w:r>
      <w:r w:rsidR="00644DC6" w:rsidRPr="003F7035">
        <w:rPr>
          <w:rFonts w:ascii="Times New Roman" w:hAnsi="Times New Roman" w:cs="Times New Roman"/>
          <w:sz w:val="24"/>
          <w:szCs w:val="24"/>
        </w:rPr>
        <w:t xml:space="preserve">. Tout au contraire, ils se sont d’emblée situés dans le cadre d’une négociation avec une droite </w:t>
      </w:r>
      <w:r w:rsidR="005D5159" w:rsidRPr="003F7035">
        <w:rPr>
          <w:rFonts w:ascii="Times New Roman" w:hAnsi="Times New Roman" w:cs="Times New Roman"/>
          <w:sz w:val="24"/>
          <w:szCs w:val="24"/>
        </w:rPr>
        <w:t>rendue</w:t>
      </w:r>
      <w:r w:rsidR="00644DC6" w:rsidRPr="003F7035">
        <w:rPr>
          <w:rFonts w:ascii="Times New Roman" w:hAnsi="Times New Roman" w:cs="Times New Roman"/>
          <w:sz w:val="24"/>
          <w:szCs w:val="24"/>
        </w:rPr>
        <w:t xml:space="preserve"> agressive par le résultat du 4 septembre</w:t>
      </w:r>
      <w:r w:rsidR="00952A24" w:rsidRPr="00952A24">
        <w:rPr>
          <w:rStyle w:val="Appelnotedebasdep"/>
          <w:rFonts w:ascii="Times New Roman" w:hAnsi="Times New Roman" w:cs="Times New Roman"/>
          <w:sz w:val="24"/>
          <w:szCs w:val="24"/>
        </w:rPr>
        <w:footnoteReference w:id="7"/>
      </w:r>
      <w:r w:rsidR="004E6685" w:rsidRPr="00952A24">
        <w:rPr>
          <w:rFonts w:ascii="Times New Roman" w:hAnsi="Times New Roman" w:cs="Times New Roman"/>
          <w:sz w:val="24"/>
          <w:szCs w:val="24"/>
        </w:rPr>
        <w:t>.</w:t>
      </w:r>
      <w:r w:rsidR="009C6269" w:rsidRPr="003F7035">
        <w:rPr>
          <w:rFonts w:ascii="Times New Roman" w:hAnsi="Times New Roman" w:cs="Times New Roman"/>
          <w:sz w:val="24"/>
          <w:szCs w:val="24"/>
        </w:rPr>
        <w:t xml:space="preserve"> </w:t>
      </w:r>
    </w:p>
    <w:p w14:paraId="09B8B48E" w14:textId="3655FAED" w:rsidR="00CA4987" w:rsidRPr="003F7035" w:rsidRDefault="0001379F"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 xml:space="preserve">La responsabilité du gouvernement ne peut être mise en doute. </w:t>
      </w:r>
      <w:r w:rsidR="00CA4987" w:rsidRPr="003F7035">
        <w:rPr>
          <w:rFonts w:ascii="Times New Roman" w:hAnsi="Times New Roman" w:cs="Times New Roman"/>
          <w:sz w:val="24"/>
          <w:szCs w:val="24"/>
        </w:rPr>
        <w:t>Une fois élu président en décembre 2021,</w:t>
      </w:r>
      <w:r w:rsidR="009E2757" w:rsidRPr="003F7035">
        <w:rPr>
          <w:rFonts w:ascii="Times New Roman" w:hAnsi="Times New Roman" w:cs="Times New Roman"/>
          <w:sz w:val="24"/>
          <w:szCs w:val="24"/>
        </w:rPr>
        <w:t xml:space="preserve"> </w:t>
      </w:r>
      <w:r w:rsidR="000A5719" w:rsidRPr="003F7035">
        <w:rPr>
          <w:rFonts w:ascii="Times New Roman" w:hAnsi="Times New Roman" w:cs="Times New Roman"/>
          <w:sz w:val="24"/>
          <w:szCs w:val="24"/>
        </w:rPr>
        <w:t>Boric</w:t>
      </w:r>
      <w:r w:rsidR="00CA4987" w:rsidRPr="003F7035">
        <w:rPr>
          <w:rFonts w:ascii="Times New Roman" w:hAnsi="Times New Roman" w:cs="Times New Roman"/>
          <w:sz w:val="24"/>
          <w:szCs w:val="24"/>
        </w:rPr>
        <w:t xml:space="preserve"> </w:t>
      </w:r>
      <w:r w:rsidR="00644DC6" w:rsidRPr="003F7035">
        <w:rPr>
          <w:rFonts w:ascii="Times New Roman" w:hAnsi="Times New Roman" w:cs="Times New Roman"/>
          <w:sz w:val="24"/>
          <w:szCs w:val="24"/>
        </w:rPr>
        <w:t xml:space="preserve">s’est montré </w:t>
      </w:r>
      <w:r w:rsidR="00A14BB0" w:rsidRPr="003F7035">
        <w:rPr>
          <w:rFonts w:ascii="Times New Roman" w:hAnsi="Times New Roman" w:cs="Times New Roman"/>
          <w:sz w:val="24"/>
          <w:szCs w:val="24"/>
        </w:rPr>
        <w:t>indifférent</w:t>
      </w:r>
      <w:r w:rsidR="0063020A" w:rsidRPr="003F7035">
        <w:rPr>
          <w:rFonts w:ascii="Times New Roman" w:hAnsi="Times New Roman" w:cs="Times New Roman"/>
          <w:sz w:val="24"/>
          <w:szCs w:val="24"/>
        </w:rPr>
        <w:t xml:space="preserve"> aux</w:t>
      </w:r>
      <w:r w:rsidR="009E2757" w:rsidRPr="003F7035">
        <w:rPr>
          <w:rFonts w:ascii="Times New Roman" w:hAnsi="Times New Roman" w:cs="Times New Roman"/>
          <w:sz w:val="24"/>
          <w:szCs w:val="24"/>
        </w:rPr>
        <w:t xml:space="preserve"> travaux de la Constituante. Il accumule au cours des premiers mois de sa présidence erreurs et volte-face</w:t>
      </w:r>
      <w:r w:rsidR="00F75AFF" w:rsidRPr="003F7035">
        <w:rPr>
          <w:rFonts w:ascii="Times New Roman" w:hAnsi="Times New Roman" w:cs="Times New Roman"/>
          <w:sz w:val="24"/>
          <w:szCs w:val="24"/>
        </w:rPr>
        <w:t xml:space="preserve"> en tous genres</w:t>
      </w:r>
      <w:r w:rsidR="009E2757" w:rsidRPr="003F7035">
        <w:rPr>
          <w:rFonts w:ascii="Times New Roman" w:hAnsi="Times New Roman" w:cs="Times New Roman"/>
          <w:sz w:val="24"/>
          <w:szCs w:val="24"/>
        </w:rPr>
        <w:t xml:space="preserve">, dont l’une des plus </w:t>
      </w:r>
      <w:r w:rsidR="00FB5CA2" w:rsidRPr="003F7035">
        <w:rPr>
          <w:rFonts w:ascii="Times New Roman" w:hAnsi="Times New Roman" w:cs="Times New Roman"/>
          <w:sz w:val="24"/>
          <w:szCs w:val="24"/>
        </w:rPr>
        <w:t>significatives</w:t>
      </w:r>
      <w:r w:rsidR="00F75AFF" w:rsidRPr="003F7035">
        <w:rPr>
          <w:rFonts w:ascii="Times New Roman" w:hAnsi="Times New Roman" w:cs="Times New Roman"/>
          <w:sz w:val="24"/>
          <w:szCs w:val="24"/>
        </w:rPr>
        <w:t xml:space="preserve"> </w:t>
      </w:r>
      <w:r w:rsidR="009E2757" w:rsidRPr="003F7035">
        <w:rPr>
          <w:rFonts w:ascii="Times New Roman" w:hAnsi="Times New Roman" w:cs="Times New Roman"/>
          <w:sz w:val="24"/>
          <w:szCs w:val="24"/>
        </w:rPr>
        <w:t xml:space="preserve">est son revirement </w:t>
      </w:r>
      <w:r w:rsidR="00F75AFF" w:rsidRPr="003F7035">
        <w:rPr>
          <w:rFonts w:ascii="Times New Roman" w:hAnsi="Times New Roman" w:cs="Times New Roman"/>
          <w:sz w:val="24"/>
          <w:szCs w:val="24"/>
        </w:rPr>
        <w:t xml:space="preserve">sur le conflit </w:t>
      </w:r>
      <w:r w:rsidR="0016231F" w:rsidRPr="003F7035">
        <w:rPr>
          <w:rFonts w:ascii="Times New Roman" w:hAnsi="Times New Roman" w:cs="Times New Roman"/>
          <w:sz w:val="24"/>
          <w:szCs w:val="24"/>
        </w:rPr>
        <w:t xml:space="preserve">au Wallmapu </w:t>
      </w:r>
      <w:r w:rsidR="000440AB" w:rsidRPr="003F7035">
        <w:rPr>
          <w:rFonts w:ascii="Times New Roman" w:hAnsi="Times New Roman" w:cs="Times New Roman"/>
          <w:sz w:val="24"/>
          <w:szCs w:val="24"/>
        </w:rPr>
        <w:t>qui l’amène à rappeler l’armée sur les territoires</w:t>
      </w:r>
      <w:r w:rsidR="0016231F" w:rsidRPr="003F7035">
        <w:rPr>
          <w:rFonts w:ascii="Times New Roman" w:hAnsi="Times New Roman" w:cs="Times New Roman"/>
          <w:sz w:val="24"/>
          <w:szCs w:val="24"/>
        </w:rPr>
        <w:t xml:space="preserve"> des Mapuche</w:t>
      </w:r>
      <w:r w:rsidR="00F75AFF" w:rsidRPr="003F7035">
        <w:rPr>
          <w:rFonts w:ascii="Times New Roman" w:hAnsi="Times New Roman" w:cs="Times New Roman"/>
          <w:sz w:val="24"/>
          <w:szCs w:val="24"/>
        </w:rPr>
        <w:t xml:space="preserve">. </w:t>
      </w:r>
      <w:r w:rsidR="009E2757" w:rsidRPr="003F7035">
        <w:rPr>
          <w:rFonts w:ascii="Times New Roman" w:hAnsi="Times New Roman" w:cs="Times New Roman"/>
          <w:sz w:val="24"/>
          <w:szCs w:val="24"/>
        </w:rPr>
        <w:t xml:space="preserve">Dans la dernière étape de la campagne </w:t>
      </w:r>
      <w:r w:rsidR="00F75AFF" w:rsidRPr="003F7035">
        <w:rPr>
          <w:rFonts w:ascii="Times New Roman" w:hAnsi="Times New Roman" w:cs="Times New Roman"/>
          <w:sz w:val="24"/>
          <w:szCs w:val="24"/>
        </w:rPr>
        <w:t>du</w:t>
      </w:r>
      <w:r w:rsidR="009E2757" w:rsidRPr="003F7035">
        <w:rPr>
          <w:rFonts w:ascii="Times New Roman" w:hAnsi="Times New Roman" w:cs="Times New Roman"/>
          <w:sz w:val="24"/>
          <w:szCs w:val="24"/>
        </w:rPr>
        <w:t xml:space="preserve"> plébiscite de sortie, </w:t>
      </w:r>
      <w:r w:rsidR="00F75AFF" w:rsidRPr="003F7035">
        <w:rPr>
          <w:rFonts w:ascii="Times New Roman" w:hAnsi="Times New Roman" w:cs="Times New Roman"/>
          <w:sz w:val="24"/>
          <w:szCs w:val="24"/>
        </w:rPr>
        <w:t xml:space="preserve">sentant le vent tourner, il amorce un </w:t>
      </w:r>
      <w:r w:rsidR="00EE4E79" w:rsidRPr="003F7035">
        <w:rPr>
          <w:rFonts w:ascii="Times New Roman" w:hAnsi="Times New Roman" w:cs="Times New Roman"/>
          <w:sz w:val="24"/>
          <w:szCs w:val="24"/>
        </w:rPr>
        <w:t xml:space="preserve">virage </w:t>
      </w:r>
      <w:r w:rsidR="00F75AFF" w:rsidRPr="003F7035">
        <w:rPr>
          <w:rFonts w:ascii="Times New Roman" w:hAnsi="Times New Roman" w:cs="Times New Roman"/>
          <w:sz w:val="24"/>
          <w:szCs w:val="24"/>
        </w:rPr>
        <w:t xml:space="preserve">en </w:t>
      </w:r>
      <w:r w:rsidR="00EE4E79" w:rsidRPr="003F7035">
        <w:rPr>
          <w:rFonts w:ascii="Times New Roman" w:hAnsi="Times New Roman" w:cs="Times New Roman"/>
          <w:sz w:val="24"/>
          <w:szCs w:val="24"/>
        </w:rPr>
        <w:t xml:space="preserve">dévoilant </w:t>
      </w:r>
      <w:r w:rsidR="00F75AFF" w:rsidRPr="003F7035">
        <w:rPr>
          <w:rFonts w:ascii="Times New Roman" w:hAnsi="Times New Roman" w:cs="Times New Roman"/>
          <w:sz w:val="24"/>
          <w:szCs w:val="24"/>
        </w:rPr>
        <w:t>dès le 1</w:t>
      </w:r>
      <w:r w:rsidR="00EE4E79" w:rsidRPr="003F7035">
        <w:rPr>
          <w:rFonts w:ascii="Times New Roman" w:hAnsi="Times New Roman" w:cs="Times New Roman"/>
          <w:sz w:val="24"/>
          <w:szCs w:val="24"/>
        </w:rPr>
        <w:t xml:space="preserve">5 </w:t>
      </w:r>
      <w:r w:rsidR="00F75AFF" w:rsidRPr="003F7035">
        <w:rPr>
          <w:rFonts w:ascii="Times New Roman" w:hAnsi="Times New Roman" w:cs="Times New Roman"/>
          <w:sz w:val="24"/>
          <w:szCs w:val="24"/>
        </w:rPr>
        <w:t>juillet 2022 un « plan B »</w:t>
      </w:r>
      <w:r w:rsidR="00EE4E79" w:rsidRPr="003F7035">
        <w:rPr>
          <w:rFonts w:ascii="Times New Roman" w:hAnsi="Times New Roman" w:cs="Times New Roman"/>
          <w:sz w:val="24"/>
          <w:szCs w:val="24"/>
        </w:rPr>
        <w:t xml:space="preserve"> en cas de victoire du </w:t>
      </w:r>
      <w:proofErr w:type="spellStart"/>
      <w:r w:rsidR="00396121" w:rsidRPr="003F7035">
        <w:rPr>
          <w:rFonts w:ascii="Times New Roman" w:hAnsi="Times New Roman" w:cs="Times New Roman"/>
          <w:sz w:val="24"/>
          <w:szCs w:val="24"/>
        </w:rPr>
        <w:t>Rechazo</w:t>
      </w:r>
      <w:proofErr w:type="spellEnd"/>
      <w:r w:rsidR="00320F06" w:rsidRPr="003F7035">
        <w:rPr>
          <w:rFonts w:ascii="Times New Roman" w:hAnsi="Times New Roman" w:cs="Times New Roman"/>
          <w:sz w:val="24"/>
          <w:szCs w:val="24"/>
        </w:rPr>
        <w:t xml:space="preserve">, </w:t>
      </w:r>
      <w:r w:rsidR="006F64A9" w:rsidRPr="003F7035">
        <w:rPr>
          <w:rFonts w:ascii="Times New Roman" w:hAnsi="Times New Roman" w:cs="Times New Roman"/>
          <w:sz w:val="24"/>
          <w:szCs w:val="24"/>
        </w:rPr>
        <w:t>ce qui</w:t>
      </w:r>
      <w:r w:rsidR="00320F06" w:rsidRPr="003F7035">
        <w:rPr>
          <w:rFonts w:ascii="Times New Roman" w:hAnsi="Times New Roman" w:cs="Times New Roman"/>
          <w:sz w:val="24"/>
          <w:szCs w:val="24"/>
        </w:rPr>
        <w:t xml:space="preserve"> </w:t>
      </w:r>
      <w:r w:rsidR="006F64A9" w:rsidRPr="003F7035">
        <w:rPr>
          <w:rFonts w:ascii="Times New Roman" w:hAnsi="Times New Roman" w:cs="Times New Roman"/>
          <w:sz w:val="24"/>
          <w:szCs w:val="24"/>
        </w:rPr>
        <w:t>contredisait</w:t>
      </w:r>
      <w:r w:rsidR="00320F06" w:rsidRPr="003F7035">
        <w:rPr>
          <w:rFonts w:ascii="Times New Roman" w:hAnsi="Times New Roman" w:cs="Times New Roman"/>
          <w:sz w:val="24"/>
          <w:szCs w:val="24"/>
        </w:rPr>
        <w:t xml:space="preserve"> </w:t>
      </w:r>
      <w:r w:rsidR="006F64A9" w:rsidRPr="003F7035">
        <w:rPr>
          <w:rFonts w:ascii="Times New Roman" w:hAnsi="Times New Roman" w:cs="Times New Roman"/>
          <w:sz w:val="24"/>
          <w:szCs w:val="24"/>
        </w:rPr>
        <w:t>l’annonce faite quelques semaines plus tôt</w:t>
      </w:r>
      <w:r w:rsidR="0063020A" w:rsidRPr="003F7035">
        <w:rPr>
          <w:rFonts w:ascii="Times New Roman" w:hAnsi="Times New Roman" w:cs="Times New Roman"/>
          <w:sz w:val="24"/>
          <w:szCs w:val="24"/>
        </w:rPr>
        <w:t xml:space="preserve"> de </w:t>
      </w:r>
      <w:r w:rsidR="006F64A9" w:rsidRPr="003F7035">
        <w:rPr>
          <w:rFonts w:ascii="Times New Roman" w:hAnsi="Times New Roman" w:cs="Times New Roman"/>
          <w:sz w:val="24"/>
          <w:szCs w:val="24"/>
        </w:rPr>
        <w:t xml:space="preserve">ne pas ouvrir une nouvelle porte avant le plébiscite de sortie </w:t>
      </w:r>
      <w:r w:rsidR="00EE4E79" w:rsidRPr="003F7035">
        <w:rPr>
          <w:rFonts w:ascii="Times New Roman" w:hAnsi="Times New Roman" w:cs="Times New Roman"/>
          <w:sz w:val="24"/>
          <w:szCs w:val="24"/>
        </w:rPr>
        <w:t xml:space="preserve">:  </w:t>
      </w:r>
      <w:r w:rsidR="008A1D43" w:rsidRPr="003F7035">
        <w:rPr>
          <w:rFonts w:ascii="Times New Roman" w:hAnsi="Times New Roman" w:cs="Times New Roman"/>
          <w:sz w:val="24"/>
          <w:szCs w:val="24"/>
        </w:rPr>
        <w:t>c</w:t>
      </w:r>
      <w:r w:rsidR="00F75AFF" w:rsidRPr="003F7035">
        <w:rPr>
          <w:rFonts w:ascii="Times New Roman" w:hAnsi="Times New Roman" w:cs="Times New Roman"/>
          <w:sz w:val="24"/>
          <w:szCs w:val="24"/>
        </w:rPr>
        <w:t>omme l’ont noté plusieurs analystes politiques, il entend</w:t>
      </w:r>
      <w:r w:rsidR="00EE4E79" w:rsidRPr="003F7035">
        <w:rPr>
          <w:rFonts w:ascii="Times New Roman" w:hAnsi="Times New Roman" w:cs="Times New Roman"/>
          <w:sz w:val="24"/>
          <w:szCs w:val="24"/>
        </w:rPr>
        <w:t xml:space="preserve"> alors</w:t>
      </w:r>
      <w:r w:rsidR="00F75AFF" w:rsidRPr="003F7035">
        <w:rPr>
          <w:rFonts w:ascii="Times New Roman" w:hAnsi="Times New Roman" w:cs="Times New Roman"/>
          <w:sz w:val="24"/>
          <w:szCs w:val="24"/>
        </w:rPr>
        <w:t xml:space="preserve"> occuper une </w:t>
      </w:r>
      <w:r w:rsidR="00EE4E79" w:rsidRPr="003F7035">
        <w:rPr>
          <w:rFonts w:ascii="Times New Roman" w:hAnsi="Times New Roman" w:cs="Times New Roman"/>
          <w:sz w:val="24"/>
          <w:szCs w:val="24"/>
        </w:rPr>
        <w:t>« </w:t>
      </w:r>
      <w:r w:rsidR="00F75AFF" w:rsidRPr="003F7035">
        <w:rPr>
          <w:rFonts w:ascii="Times New Roman" w:hAnsi="Times New Roman" w:cs="Times New Roman"/>
          <w:sz w:val="24"/>
          <w:szCs w:val="24"/>
        </w:rPr>
        <w:t>troisième position</w:t>
      </w:r>
      <w:r w:rsidR="001E2131" w:rsidRPr="003F7035">
        <w:rPr>
          <w:rFonts w:ascii="Times New Roman" w:hAnsi="Times New Roman" w:cs="Times New Roman"/>
          <w:sz w:val="24"/>
          <w:szCs w:val="24"/>
        </w:rPr>
        <w:t> »</w:t>
      </w:r>
      <w:r w:rsidR="007561C8" w:rsidRPr="003F7035">
        <w:rPr>
          <w:rFonts w:ascii="Times New Roman" w:hAnsi="Times New Roman" w:cs="Times New Roman"/>
          <w:sz w:val="24"/>
          <w:szCs w:val="24"/>
        </w:rPr>
        <w:t>, à égale distance de l’</w:t>
      </w:r>
      <w:proofErr w:type="spellStart"/>
      <w:r w:rsidR="007561C8" w:rsidRPr="003F7035">
        <w:rPr>
          <w:rFonts w:ascii="Times New Roman" w:hAnsi="Times New Roman" w:cs="Times New Roman"/>
          <w:sz w:val="24"/>
          <w:szCs w:val="24"/>
        </w:rPr>
        <w:t>Apruebo</w:t>
      </w:r>
      <w:proofErr w:type="spellEnd"/>
      <w:r w:rsidR="007561C8" w:rsidRPr="003F7035">
        <w:rPr>
          <w:rFonts w:ascii="Times New Roman" w:hAnsi="Times New Roman" w:cs="Times New Roman"/>
          <w:sz w:val="24"/>
          <w:szCs w:val="24"/>
        </w:rPr>
        <w:t xml:space="preserve"> </w:t>
      </w:r>
      <w:r w:rsidR="006F64A9" w:rsidRPr="003F7035">
        <w:rPr>
          <w:rFonts w:ascii="Times New Roman" w:hAnsi="Times New Roman" w:cs="Times New Roman"/>
          <w:sz w:val="24"/>
          <w:szCs w:val="24"/>
        </w:rPr>
        <w:lastRenderedPageBreak/>
        <w:t xml:space="preserve">sans nuance </w:t>
      </w:r>
      <w:r w:rsidR="007561C8" w:rsidRPr="003F7035">
        <w:rPr>
          <w:rFonts w:ascii="Times New Roman" w:hAnsi="Times New Roman" w:cs="Times New Roman"/>
          <w:sz w:val="24"/>
          <w:szCs w:val="24"/>
        </w:rPr>
        <w:t xml:space="preserve">et du </w:t>
      </w:r>
      <w:proofErr w:type="spellStart"/>
      <w:r w:rsidR="00396121" w:rsidRPr="003F7035">
        <w:rPr>
          <w:rFonts w:ascii="Times New Roman" w:hAnsi="Times New Roman" w:cs="Times New Roman"/>
          <w:sz w:val="24"/>
          <w:szCs w:val="24"/>
        </w:rPr>
        <w:t>Rechazo</w:t>
      </w:r>
      <w:proofErr w:type="spellEnd"/>
      <w:r w:rsidR="007561C8" w:rsidRPr="003F7035">
        <w:rPr>
          <w:rFonts w:ascii="Times New Roman" w:hAnsi="Times New Roman" w:cs="Times New Roman"/>
          <w:sz w:val="24"/>
          <w:szCs w:val="24"/>
        </w:rPr>
        <w:t xml:space="preserve"> inconditionnel, position </w:t>
      </w:r>
      <w:r w:rsidR="00104146" w:rsidRPr="003F7035">
        <w:rPr>
          <w:rFonts w:ascii="Times New Roman" w:hAnsi="Times New Roman" w:cs="Times New Roman"/>
          <w:sz w:val="24"/>
          <w:szCs w:val="24"/>
        </w:rPr>
        <w:t xml:space="preserve">qui </w:t>
      </w:r>
      <w:r w:rsidR="008A1D43" w:rsidRPr="003F7035">
        <w:rPr>
          <w:rFonts w:ascii="Times New Roman" w:hAnsi="Times New Roman" w:cs="Times New Roman"/>
          <w:sz w:val="24"/>
          <w:szCs w:val="24"/>
        </w:rPr>
        <w:t>n’est pas sans présenter un « air de famille »</w:t>
      </w:r>
      <w:r w:rsidR="001E2131" w:rsidRPr="003F7035">
        <w:rPr>
          <w:rFonts w:ascii="Times New Roman" w:hAnsi="Times New Roman" w:cs="Times New Roman"/>
          <w:sz w:val="24"/>
          <w:szCs w:val="24"/>
        </w:rPr>
        <w:t xml:space="preserve"> </w:t>
      </w:r>
      <w:r w:rsidR="008A1D43" w:rsidRPr="003F7035">
        <w:rPr>
          <w:rFonts w:ascii="Times New Roman" w:hAnsi="Times New Roman" w:cs="Times New Roman"/>
          <w:sz w:val="24"/>
          <w:szCs w:val="24"/>
        </w:rPr>
        <w:t>avec celle exprimé</w:t>
      </w:r>
      <w:r w:rsidR="00F12405" w:rsidRPr="003F7035">
        <w:rPr>
          <w:rFonts w:ascii="Times New Roman" w:hAnsi="Times New Roman" w:cs="Times New Roman"/>
          <w:sz w:val="24"/>
          <w:szCs w:val="24"/>
        </w:rPr>
        <w:t>e</w:t>
      </w:r>
      <w:r w:rsidR="008A1D43" w:rsidRPr="003F7035">
        <w:rPr>
          <w:rFonts w:ascii="Times New Roman" w:hAnsi="Times New Roman" w:cs="Times New Roman"/>
          <w:sz w:val="24"/>
          <w:szCs w:val="24"/>
        </w:rPr>
        <w:t xml:space="preserve"> par le</w:t>
      </w:r>
      <w:r w:rsidR="001E2131" w:rsidRPr="003F7035">
        <w:rPr>
          <w:rFonts w:ascii="Times New Roman" w:hAnsi="Times New Roman" w:cs="Times New Roman"/>
          <w:sz w:val="24"/>
          <w:szCs w:val="24"/>
        </w:rPr>
        <w:t xml:space="preserve"> président Lagos</w:t>
      </w:r>
      <w:r w:rsidR="008A1D43" w:rsidRPr="003F7035">
        <w:rPr>
          <w:rFonts w:ascii="Times New Roman" w:hAnsi="Times New Roman" w:cs="Times New Roman"/>
          <w:sz w:val="24"/>
          <w:szCs w:val="24"/>
        </w:rPr>
        <w:t xml:space="preserve"> au début de juillet</w:t>
      </w:r>
      <w:r w:rsidR="008A1D43" w:rsidRPr="003F7035">
        <w:rPr>
          <w:rStyle w:val="Appelnotedebasdep"/>
          <w:rFonts w:ascii="Times New Roman" w:hAnsi="Times New Roman" w:cs="Times New Roman"/>
          <w:sz w:val="24"/>
          <w:szCs w:val="24"/>
        </w:rPr>
        <w:footnoteReference w:id="8"/>
      </w:r>
      <w:r w:rsidR="008A1D43" w:rsidRPr="003F7035">
        <w:rPr>
          <w:rFonts w:ascii="Times New Roman" w:hAnsi="Times New Roman" w:cs="Times New Roman"/>
          <w:sz w:val="24"/>
          <w:szCs w:val="24"/>
        </w:rPr>
        <w:t>.</w:t>
      </w:r>
      <w:r w:rsidR="00F75AFF" w:rsidRPr="003F7035">
        <w:rPr>
          <w:rFonts w:ascii="Times New Roman" w:hAnsi="Times New Roman" w:cs="Times New Roman"/>
          <w:sz w:val="24"/>
          <w:szCs w:val="24"/>
        </w:rPr>
        <w:t xml:space="preserve"> </w:t>
      </w:r>
      <w:r w:rsidR="00950AE0" w:rsidRPr="003F7035">
        <w:rPr>
          <w:rFonts w:ascii="Times New Roman" w:hAnsi="Times New Roman" w:cs="Times New Roman"/>
          <w:sz w:val="24"/>
          <w:szCs w:val="24"/>
        </w:rPr>
        <w:t>L</w:t>
      </w:r>
      <w:r w:rsidR="00A14BB0" w:rsidRPr="003F7035">
        <w:rPr>
          <w:rFonts w:ascii="Times New Roman" w:hAnsi="Times New Roman" w:cs="Times New Roman"/>
          <w:sz w:val="24"/>
          <w:szCs w:val="24"/>
        </w:rPr>
        <w:t>e 30</w:t>
      </w:r>
      <w:r w:rsidR="001E2131" w:rsidRPr="003F7035">
        <w:rPr>
          <w:rFonts w:ascii="Times New Roman" w:hAnsi="Times New Roman" w:cs="Times New Roman"/>
          <w:sz w:val="24"/>
          <w:szCs w:val="24"/>
        </w:rPr>
        <w:t xml:space="preserve"> novembre</w:t>
      </w:r>
      <w:r w:rsidR="00A96189" w:rsidRPr="003F7035">
        <w:rPr>
          <w:rFonts w:ascii="Times New Roman" w:hAnsi="Times New Roman" w:cs="Times New Roman"/>
          <w:sz w:val="24"/>
          <w:szCs w:val="24"/>
        </w:rPr>
        <w:t xml:space="preserve"> 2022</w:t>
      </w:r>
      <w:r w:rsidR="00950AE0" w:rsidRPr="003F7035">
        <w:rPr>
          <w:rFonts w:ascii="Times New Roman" w:hAnsi="Times New Roman" w:cs="Times New Roman"/>
          <w:sz w:val="24"/>
          <w:szCs w:val="24"/>
        </w:rPr>
        <w:t xml:space="preserve">, </w:t>
      </w:r>
      <w:r w:rsidR="00BD6FAC" w:rsidRPr="003F7035">
        <w:rPr>
          <w:rFonts w:ascii="Times New Roman" w:hAnsi="Times New Roman" w:cs="Times New Roman"/>
          <w:sz w:val="24"/>
          <w:szCs w:val="24"/>
        </w:rPr>
        <w:t>à l’occasion de l’inauguration d’</w:t>
      </w:r>
      <w:r w:rsidR="001E2131" w:rsidRPr="003F7035">
        <w:rPr>
          <w:rFonts w:ascii="Times New Roman" w:hAnsi="Times New Roman" w:cs="Times New Roman"/>
          <w:sz w:val="24"/>
          <w:szCs w:val="24"/>
        </w:rPr>
        <w:t>une statue en hommage à Patricio Aylwin, le premier président de la Concertation</w:t>
      </w:r>
      <w:r w:rsidR="00950AE0" w:rsidRPr="003F7035">
        <w:rPr>
          <w:rFonts w:ascii="Times New Roman" w:hAnsi="Times New Roman" w:cs="Times New Roman"/>
          <w:sz w:val="24"/>
          <w:szCs w:val="24"/>
        </w:rPr>
        <w:t xml:space="preserve">, </w:t>
      </w:r>
      <w:r w:rsidR="00A14BB0" w:rsidRPr="003F7035">
        <w:rPr>
          <w:rFonts w:ascii="Times New Roman" w:hAnsi="Times New Roman" w:cs="Times New Roman"/>
          <w:sz w:val="24"/>
          <w:szCs w:val="24"/>
        </w:rPr>
        <w:t xml:space="preserve">il </w:t>
      </w:r>
      <w:r w:rsidR="00D54E64" w:rsidRPr="003F7035">
        <w:rPr>
          <w:rFonts w:ascii="Times New Roman" w:hAnsi="Times New Roman" w:cs="Times New Roman"/>
          <w:sz w:val="24"/>
          <w:szCs w:val="24"/>
        </w:rPr>
        <w:t>va</w:t>
      </w:r>
      <w:r w:rsidR="009F571B" w:rsidRPr="003F7035">
        <w:rPr>
          <w:rFonts w:ascii="Times New Roman" w:hAnsi="Times New Roman" w:cs="Times New Roman"/>
          <w:sz w:val="24"/>
          <w:szCs w:val="24"/>
        </w:rPr>
        <w:t xml:space="preserve"> jusqu’à </w:t>
      </w:r>
      <w:r w:rsidR="00BD6FAC" w:rsidRPr="003F7035">
        <w:rPr>
          <w:rFonts w:ascii="Times New Roman" w:hAnsi="Times New Roman" w:cs="Times New Roman"/>
          <w:sz w:val="24"/>
          <w:szCs w:val="24"/>
        </w:rPr>
        <w:t>érige</w:t>
      </w:r>
      <w:r w:rsidR="009F571B" w:rsidRPr="003F7035">
        <w:rPr>
          <w:rFonts w:ascii="Times New Roman" w:hAnsi="Times New Roman" w:cs="Times New Roman"/>
          <w:sz w:val="24"/>
          <w:szCs w:val="24"/>
        </w:rPr>
        <w:t>r</w:t>
      </w:r>
      <w:r w:rsidR="001E2131" w:rsidRPr="003F7035">
        <w:rPr>
          <w:rFonts w:ascii="Times New Roman" w:hAnsi="Times New Roman" w:cs="Times New Roman"/>
          <w:sz w:val="24"/>
          <w:szCs w:val="24"/>
        </w:rPr>
        <w:t xml:space="preserve"> </w:t>
      </w:r>
      <w:r w:rsidR="00A96189" w:rsidRPr="003F7035">
        <w:rPr>
          <w:rFonts w:ascii="Times New Roman" w:hAnsi="Times New Roman" w:cs="Times New Roman"/>
          <w:sz w:val="24"/>
          <w:szCs w:val="24"/>
        </w:rPr>
        <w:t xml:space="preserve">ce dernier </w:t>
      </w:r>
      <w:r w:rsidR="001E2131" w:rsidRPr="003F7035">
        <w:rPr>
          <w:rFonts w:ascii="Times New Roman" w:hAnsi="Times New Roman" w:cs="Times New Roman"/>
          <w:sz w:val="24"/>
          <w:szCs w:val="24"/>
        </w:rPr>
        <w:t>en modè</w:t>
      </w:r>
      <w:r w:rsidR="00BD6FAC" w:rsidRPr="003F7035">
        <w:rPr>
          <w:rFonts w:ascii="Times New Roman" w:hAnsi="Times New Roman" w:cs="Times New Roman"/>
          <w:sz w:val="24"/>
          <w:szCs w:val="24"/>
        </w:rPr>
        <w:t>le</w:t>
      </w:r>
      <w:r w:rsidR="003A3C9E" w:rsidRPr="003F7035">
        <w:rPr>
          <w:rFonts w:ascii="Times New Roman" w:hAnsi="Times New Roman" w:cs="Times New Roman"/>
          <w:sz w:val="24"/>
          <w:szCs w:val="24"/>
        </w:rPr>
        <w:t xml:space="preserve"> pour sa propre génération politique</w:t>
      </w:r>
      <w:r w:rsidR="00644DC6" w:rsidRPr="003F7035">
        <w:rPr>
          <w:rStyle w:val="Appelnotedebasdep"/>
          <w:rFonts w:ascii="Times New Roman" w:hAnsi="Times New Roman" w:cs="Times New Roman"/>
          <w:sz w:val="24"/>
          <w:szCs w:val="24"/>
        </w:rPr>
        <w:footnoteReference w:id="9"/>
      </w:r>
      <w:r w:rsidR="001E2131" w:rsidRPr="003F7035">
        <w:rPr>
          <w:rFonts w:ascii="Times New Roman" w:hAnsi="Times New Roman" w:cs="Times New Roman"/>
          <w:sz w:val="24"/>
          <w:szCs w:val="24"/>
        </w:rPr>
        <w:t>.</w:t>
      </w:r>
      <w:r w:rsidR="00104146" w:rsidRPr="003F7035">
        <w:rPr>
          <w:rFonts w:ascii="Times New Roman" w:hAnsi="Times New Roman" w:cs="Times New Roman"/>
          <w:sz w:val="24"/>
          <w:szCs w:val="24"/>
        </w:rPr>
        <w:t xml:space="preserve"> </w:t>
      </w:r>
    </w:p>
    <w:p w14:paraId="715A4E17" w14:textId="129D8A31" w:rsidR="000A5719" w:rsidRPr="003F7035" w:rsidRDefault="007E66F2"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Cependant</w:t>
      </w:r>
      <w:r w:rsidR="0016231F" w:rsidRPr="003F7035">
        <w:rPr>
          <w:rFonts w:ascii="Times New Roman" w:hAnsi="Times New Roman" w:cs="Times New Roman"/>
          <w:sz w:val="24"/>
          <w:szCs w:val="24"/>
        </w:rPr>
        <w:t>,</w:t>
      </w:r>
      <w:r w:rsidRPr="003F7035">
        <w:rPr>
          <w:rFonts w:ascii="Times New Roman" w:hAnsi="Times New Roman" w:cs="Times New Roman"/>
          <w:sz w:val="24"/>
          <w:szCs w:val="24"/>
        </w:rPr>
        <w:t xml:space="preserve"> il est trop facile de diaboliser Boric en se déchargeant de ses propres responsabilités. </w:t>
      </w:r>
      <w:r w:rsidR="000162BF" w:rsidRPr="003F7035">
        <w:rPr>
          <w:rFonts w:ascii="Times New Roman" w:hAnsi="Times New Roman" w:cs="Times New Roman"/>
          <w:sz w:val="24"/>
          <w:szCs w:val="24"/>
        </w:rPr>
        <w:t xml:space="preserve">Que les fantômes de la défunte Concertation réapparaissent </w:t>
      </w:r>
      <w:r w:rsidR="002B37B3" w:rsidRPr="003F7035">
        <w:rPr>
          <w:rFonts w:ascii="Times New Roman" w:hAnsi="Times New Roman" w:cs="Times New Roman"/>
          <w:sz w:val="24"/>
          <w:szCs w:val="24"/>
        </w:rPr>
        <w:t xml:space="preserve">pour prodiguer leurs conseils </w:t>
      </w:r>
      <w:r w:rsidR="000162BF" w:rsidRPr="003F7035">
        <w:rPr>
          <w:rFonts w:ascii="Times New Roman" w:hAnsi="Times New Roman" w:cs="Times New Roman"/>
          <w:sz w:val="24"/>
          <w:szCs w:val="24"/>
        </w:rPr>
        <w:t xml:space="preserve">et que les acteurs professionnels de la politique </w:t>
      </w:r>
      <w:r w:rsidR="002B37B3" w:rsidRPr="003F7035">
        <w:rPr>
          <w:rFonts w:ascii="Times New Roman" w:hAnsi="Times New Roman" w:cs="Times New Roman"/>
          <w:sz w:val="24"/>
          <w:szCs w:val="24"/>
        </w:rPr>
        <w:t xml:space="preserve">leur empruntent leur costumes pour jouer leur propre partition, </w:t>
      </w:r>
      <w:r w:rsidR="000162BF" w:rsidRPr="003F7035">
        <w:rPr>
          <w:rFonts w:ascii="Times New Roman" w:hAnsi="Times New Roman" w:cs="Times New Roman"/>
          <w:sz w:val="24"/>
          <w:szCs w:val="24"/>
        </w:rPr>
        <w:t>il n’y a là rien que de très attendu. Mais</w:t>
      </w:r>
      <w:r w:rsidR="00D85425" w:rsidRPr="003F7035">
        <w:rPr>
          <w:rFonts w:ascii="Times New Roman" w:hAnsi="Times New Roman" w:cs="Times New Roman"/>
          <w:sz w:val="24"/>
          <w:szCs w:val="24"/>
        </w:rPr>
        <w:t>,</w:t>
      </w:r>
      <w:r w:rsidR="000162BF" w:rsidRPr="003F7035">
        <w:rPr>
          <w:rFonts w:ascii="Times New Roman" w:hAnsi="Times New Roman" w:cs="Times New Roman"/>
          <w:sz w:val="24"/>
          <w:szCs w:val="24"/>
        </w:rPr>
        <w:t xml:space="preserve"> </w:t>
      </w:r>
      <w:r w:rsidR="00D85425" w:rsidRPr="003F7035">
        <w:rPr>
          <w:rFonts w:ascii="Times New Roman" w:hAnsi="Times New Roman" w:cs="Times New Roman"/>
          <w:sz w:val="24"/>
          <w:szCs w:val="24"/>
        </w:rPr>
        <w:t xml:space="preserve">au-delà de tel ou tel de ces acteurs, </w:t>
      </w:r>
      <w:r w:rsidR="000162BF" w:rsidRPr="003F7035">
        <w:rPr>
          <w:rFonts w:ascii="Times New Roman" w:hAnsi="Times New Roman" w:cs="Times New Roman"/>
          <w:sz w:val="24"/>
          <w:szCs w:val="24"/>
        </w:rPr>
        <w:t xml:space="preserve">c’est </w:t>
      </w:r>
      <w:r w:rsidR="0016231F" w:rsidRPr="003F7035">
        <w:rPr>
          <w:rFonts w:ascii="Times New Roman" w:hAnsi="Times New Roman" w:cs="Times New Roman"/>
          <w:i/>
          <w:iCs/>
          <w:sz w:val="24"/>
          <w:szCs w:val="24"/>
        </w:rPr>
        <w:t>toute</w:t>
      </w:r>
      <w:r w:rsidR="0016231F" w:rsidRPr="003F7035">
        <w:rPr>
          <w:rFonts w:ascii="Times New Roman" w:hAnsi="Times New Roman" w:cs="Times New Roman"/>
          <w:sz w:val="24"/>
          <w:szCs w:val="24"/>
        </w:rPr>
        <w:t xml:space="preserve"> la gauche </w:t>
      </w:r>
      <w:r w:rsidR="00D424BA" w:rsidRPr="003F7035">
        <w:rPr>
          <w:rFonts w:ascii="Times New Roman" w:hAnsi="Times New Roman" w:cs="Times New Roman"/>
          <w:sz w:val="24"/>
          <w:szCs w:val="24"/>
        </w:rPr>
        <w:t xml:space="preserve">des partis </w:t>
      </w:r>
      <w:r w:rsidR="0016231F" w:rsidRPr="003F7035">
        <w:rPr>
          <w:rFonts w:ascii="Times New Roman" w:hAnsi="Times New Roman" w:cs="Times New Roman"/>
          <w:sz w:val="24"/>
          <w:szCs w:val="24"/>
        </w:rPr>
        <w:t>qui est en cause</w:t>
      </w:r>
      <w:r w:rsidR="00D20433" w:rsidRPr="003F7035">
        <w:rPr>
          <w:rFonts w:ascii="Times New Roman" w:hAnsi="Times New Roman" w:cs="Times New Roman"/>
          <w:sz w:val="24"/>
          <w:szCs w:val="24"/>
        </w:rPr>
        <w:t>, à l’intérieur comme à l’extérieur du gouvernement</w:t>
      </w:r>
      <w:r w:rsidR="00EB191F" w:rsidRPr="003F7035">
        <w:rPr>
          <w:rFonts w:ascii="Times New Roman" w:hAnsi="Times New Roman" w:cs="Times New Roman"/>
          <w:sz w:val="24"/>
          <w:szCs w:val="24"/>
        </w:rPr>
        <w:t xml:space="preserve">, en raison de sa subordination à </w:t>
      </w:r>
      <w:r w:rsidR="00D20433" w:rsidRPr="003F7035">
        <w:rPr>
          <w:rFonts w:ascii="Times New Roman" w:hAnsi="Times New Roman" w:cs="Times New Roman"/>
          <w:sz w:val="24"/>
          <w:szCs w:val="24"/>
        </w:rPr>
        <w:t>la logique du concertacionisme</w:t>
      </w:r>
      <w:r w:rsidR="001D12DF" w:rsidRPr="003F7035">
        <w:rPr>
          <w:rFonts w:ascii="Times New Roman" w:hAnsi="Times New Roman" w:cs="Times New Roman"/>
          <w:sz w:val="24"/>
          <w:szCs w:val="24"/>
        </w:rPr>
        <w:t> : la recherche du consensus à tout prix</w:t>
      </w:r>
      <w:r w:rsidR="00D111CC" w:rsidRPr="003F7035">
        <w:rPr>
          <w:rFonts w:ascii="Times New Roman" w:hAnsi="Times New Roman" w:cs="Times New Roman"/>
          <w:sz w:val="24"/>
          <w:szCs w:val="24"/>
        </w:rPr>
        <w:t xml:space="preserve"> </w:t>
      </w:r>
      <w:r w:rsidR="00D85425" w:rsidRPr="003F7035">
        <w:rPr>
          <w:rFonts w:ascii="Times New Roman" w:hAnsi="Times New Roman" w:cs="Times New Roman"/>
          <w:sz w:val="24"/>
          <w:szCs w:val="24"/>
        </w:rPr>
        <w:t xml:space="preserve">motivée par </w:t>
      </w:r>
      <w:r w:rsidR="002C5C24" w:rsidRPr="003F7035">
        <w:rPr>
          <w:rFonts w:ascii="Times New Roman" w:hAnsi="Times New Roman" w:cs="Times New Roman"/>
          <w:sz w:val="24"/>
          <w:szCs w:val="24"/>
        </w:rPr>
        <w:t>une</w:t>
      </w:r>
      <w:r w:rsidR="00D85425" w:rsidRPr="003F7035">
        <w:rPr>
          <w:rFonts w:ascii="Times New Roman" w:hAnsi="Times New Roman" w:cs="Times New Roman"/>
          <w:sz w:val="24"/>
          <w:szCs w:val="24"/>
        </w:rPr>
        <w:t xml:space="preserve"> peur</w:t>
      </w:r>
      <w:r w:rsidR="002C5C24" w:rsidRPr="003F7035">
        <w:rPr>
          <w:rFonts w:ascii="Times New Roman" w:hAnsi="Times New Roman" w:cs="Times New Roman"/>
          <w:sz w:val="24"/>
          <w:szCs w:val="24"/>
        </w:rPr>
        <w:t xml:space="preserve"> maladive</w:t>
      </w:r>
      <w:r w:rsidR="00D85425" w:rsidRPr="003F7035">
        <w:rPr>
          <w:rFonts w:ascii="Times New Roman" w:hAnsi="Times New Roman" w:cs="Times New Roman"/>
          <w:sz w:val="24"/>
          <w:szCs w:val="24"/>
        </w:rPr>
        <w:t xml:space="preserve"> du conflit</w:t>
      </w:r>
      <w:r w:rsidR="00D20433" w:rsidRPr="003F7035">
        <w:rPr>
          <w:rFonts w:ascii="Times New Roman" w:hAnsi="Times New Roman" w:cs="Times New Roman"/>
          <w:sz w:val="24"/>
          <w:szCs w:val="24"/>
        </w:rPr>
        <w:t xml:space="preserve">. </w:t>
      </w:r>
      <w:r w:rsidR="009B1C57" w:rsidRPr="003F7035">
        <w:rPr>
          <w:rFonts w:ascii="Times New Roman" w:hAnsi="Times New Roman" w:cs="Times New Roman"/>
          <w:sz w:val="24"/>
          <w:szCs w:val="24"/>
        </w:rPr>
        <w:t>Invoquer le rapport de forces défavorable au lendemain de la défaite ou la limite de ce qui est possible revient à se dissimuler à soi-même l’ampleur de l</w:t>
      </w:r>
      <w:r w:rsidR="002B37B3" w:rsidRPr="003F7035">
        <w:rPr>
          <w:rFonts w:ascii="Times New Roman" w:hAnsi="Times New Roman" w:cs="Times New Roman"/>
          <w:sz w:val="24"/>
          <w:szCs w:val="24"/>
        </w:rPr>
        <w:t xml:space="preserve">’échec </w:t>
      </w:r>
      <w:r w:rsidR="009B1C57" w:rsidRPr="003F7035">
        <w:rPr>
          <w:rFonts w:ascii="Times New Roman" w:hAnsi="Times New Roman" w:cs="Times New Roman"/>
          <w:sz w:val="24"/>
          <w:szCs w:val="24"/>
        </w:rPr>
        <w:t>politique. La formule tant ressassée « un mauvais accord est meilleur que pas d’accord du tout » ne fait que l</w:t>
      </w:r>
      <w:r w:rsidR="001A4A7A" w:rsidRPr="003F7035">
        <w:rPr>
          <w:rFonts w:ascii="Times New Roman" w:hAnsi="Times New Roman" w:cs="Times New Roman"/>
          <w:sz w:val="24"/>
          <w:szCs w:val="24"/>
        </w:rPr>
        <w:t>a</w:t>
      </w:r>
      <w:r w:rsidR="009B1C57" w:rsidRPr="003F7035">
        <w:rPr>
          <w:rFonts w:ascii="Times New Roman" w:hAnsi="Times New Roman" w:cs="Times New Roman"/>
          <w:sz w:val="24"/>
          <w:szCs w:val="24"/>
        </w:rPr>
        <w:t xml:space="preserve"> confirmer tant elle révèle sa proximité avec la formule d</w:t>
      </w:r>
      <w:r w:rsidR="001A4A7A" w:rsidRPr="003F7035">
        <w:rPr>
          <w:rFonts w:ascii="Times New Roman" w:hAnsi="Times New Roman" w:cs="Times New Roman"/>
          <w:sz w:val="24"/>
          <w:szCs w:val="24"/>
        </w:rPr>
        <w:t>u président</w:t>
      </w:r>
      <w:r w:rsidR="009B1C57" w:rsidRPr="003F7035">
        <w:rPr>
          <w:rFonts w:ascii="Times New Roman" w:hAnsi="Times New Roman" w:cs="Times New Roman"/>
          <w:sz w:val="24"/>
          <w:szCs w:val="24"/>
        </w:rPr>
        <w:t xml:space="preserve"> Aylwin en 1990 « la justice dans la mesure du possible »</w:t>
      </w:r>
      <w:r w:rsidR="00612DC5" w:rsidRPr="003F7035">
        <w:rPr>
          <w:rStyle w:val="Appelnotedebasdep"/>
          <w:rFonts w:ascii="Times New Roman" w:hAnsi="Times New Roman" w:cs="Times New Roman"/>
          <w:sz w:val="24"/>
          <w:szCs w:val="24"/>
        </w:rPr>
        <w:footnoteReference w:id="10"/>
      </w:r>
      <w:r w:rsidR="009B1C57" w:rsidRPr="003F7035">
        <w:rPr>
          <w:rFonts w:ascii="Times New Roman" w:hAnsi="Times New Roman" w:cs="Times New Roman"/>
          <w:sz w:val="24"/>
          <w:szCs w:val="24"/>
        </w:rPr>
        <w:t>.</w:t>
      </w:r>
      <w:r w:rsidR="00C97CF9" w:rsidRPr="003F7035">
        <w:rPr>
          <w:rFonts w:ascii="Times New Roman" w:hAnsi="Times New Roman" w:cs="Times New Roman"/>
          <w:sz w:val="24"/>
          <w:szCs w:val="24"/>
        </w:rPr>
        <w:t xml:space="preserve"> </w:t>
      </w:r>
      <w:r w:rsidR="00D111CC" w:rsidRPr="003F7035">
        <w:rPr>
          <w:rFonts w:ascii="Times New Roman" w:hAnsi="Times New Roman" w:cs="Times New Roman"/>
          <w:sz w:val="24"/>
          <w:szCs w:val="24"/>
        </w:rPr>
        <w:t xml:space="preserve">Cette subordination au concertacionisme </w:t>
      </w:r>
      <w:r w:rsidR="000162BF" w:rsidRPr="003F7035">
        <w:rPr>
          <w:rFonts w:ascii="Times New Roman" w:hAnsi="Times New Roman" w:cs="Times New Roman"/>
          <w:sz w:val="24"/>
          <w:szCs w:val="24"/>
        </w:rPr>
        <w:t xml:space="preserve">a </w:t>
      </w:r>
      <w:r w:rsidR="00D111CC" w:rsidRPr="003F7035">
        <w:rPr>
          <w:rFonts w:ascii="Times New Roman" w:hAnsi="Times New Roman" w:cs="Times New Roman"/>
          <w:sz w:val="24"/>
          <w:szCs w:val="24"/>
        </w:rPr>
        <w:t>fini par produire le pire : le discrédit du gouvernement, l’abandon de la Constituante</w:t>
      </w:r>
      <w:r w:rsidR="000A5719" w:rsidRPr="003F7035">
        <w:rPr>
          <w:rFonts w:ascii="Times New Roman" w:hAnsi="Times New Roman" w:cs="Times New Roman"/>
          <w:sz w:val="24"/>
          <w:szCs w:val="24"/>
        </w:rPr>
        <w:t xml:space="preserve"> à son sort</w:t>
      </w:r>
      <w:r w:rsidR="00D111CC" w:rsidRPr="003F7035">
        <w:rPr>
          <w:rFonts w:ascii="Times New Roman" w:hAnsi="Times New Roman" w:cs="Times New Roman"/>
          <w:sz w:val="24"/>
          <w:szCs w:val="24"/>
        </w:rPr>
        <w:t xml:space="preserve">, l’affaiblissement de partis </w:t>
      </w:r>
      <w:r w:rsidR="00D85425" w:rsidRPr="003F7035">
        <w:rPr>
          <w:rFonts w:ascii="Times New Roman" w:hAnsi="Times New Roman" w:cs="Times New Roman"/>
          <w:sz w:val="24"/>
          <w:szCs w:val="24"/>
        </w:rPr>
        <w:t xml:space="preserve">prisonniers de l’arène parlementaire </w:t>
      </w:r>
      <w:r w:rsidR="00D111CC" w:rsidRPr="003F7035">
        <w:rPr>
          <w:rFonts w:ascii="Times New Roman" w:hAnsi="Times New Roman" w:cs="Times New Roman"/>
          <w:sz w:val="24"/>
          <w:szCs w:val="24"/>
        </w:rPr>
        <w:t>et</w:t>
      </w:r>
      <w:r w:rsidR="002C5C24" w:rsidRPr="003F7035">
        <w:rPr>
          <w:rFonts w:ascii="Times New Roman" w:hAnsi="Times New Roman" w:cs="Times New Roman"/>
          <w:sz w:val="24"/>
          <w:szCs w:val="24"/>
        </w:rPr>
        <w:t xml:space="preserve">, par-dessus tout, </w:t>
      </w:r>
      <w:r w:rsidR="00D111CC" w:rsidRPr="003F7035">
        <w:rPr>
          <w:rFonts w:ascii="Times New Roman" w:hAnsi="Times New Roman" w:cs="Times New Roman"/>
          <w:sz w:val="24"/>
          <w:szCs w:val="24"/>
        </w:rPr>
        <w:t xml:space="preserve">l’irréparable </w:t>
      </w:r>
      <w:r w:rsidR="0099669B" w:rsidRPr="003F7035">
        <w:rPr>
          <w:rFonts w:ascii="Times New Roman" w:hAnsi="Times New Roman" w:cs="Times New Roman"/>
          <w:sz w:val="24"/>
          <w:szCs w:val="24"/>
        </w:rPr>
        <w:t>fracture</w:t>
      </w:r>
      <w:r w:rsidR="00D111CC" w:rsidRPr="003F7035">
        <w:rPr>
          <w:rFonts w:ascii="Times New Roman" w:hAnsi="Times New Roman" w:cs="Times New Roman"/>
          <w:sz w:val="24"/>
          <w:szCs w:val="24"/>
        </w:rPr>
        <w:t xml:space="preserve"> </w:t>
      </w:r>
      <w:r w:rsidR="002C5C24" w:rsidRPr="003F7035">
        <w:rPr>
          <w:rFonts w:ascii="Times New Roman" w:hAnsi="Times New Roman" w:cs="Times New Roman"/>
          <w:sz w:val="24"/>
          <w:szCs w:val="24"/>
        </w:rPr>
        <w:t xml:space="preserve">de ces partis </w:t>
      </w:r>
      <w:r w:rsidR="00D111CC" w:rsidRPr="003F7035">
        <w:rPr>
          <w:rFonts w:ascii="Times New Roman" w:hAnsi="Times New Roman" w:cs="Times New Roman"/>
          <w:sz w:val="24"/>
          <w:szCs w:val="24"/>
        </w:rPr>
        <w:t>avec les mouvements sociaux.</w:t>
      </w:r>
    </w:p>
    <w:p w14:paraId="620F363A" w14:textId="7DB0F037" w:rsidR="00D20433" w:rsidRDefault="000A5719" w:rsidP="004833E9">
      <w:pPr>
        <w:spacing w:line="360" w:lineRule="auto"/>
        <w:jc w:val="both"/>
        <w:rPr>
          <w:rFonts w:ascii="Times New Roman" w:hAnsi="Times New Roman" w:cs="Times New Roman"/>
          <w:sz w:val="24"/>
          <w:szCs w:val="24"/>
        </w:rPr>
      </w:pPr>
      <w:r w:rsidRPr="003F7035">
        <w:rPr>
          <w:rFonts w:ascii="Times New Roman" w:hAnsi="Times New Roman" w:cs="Times New Roman"/>
          <w:sz w:val="24"/>
          <w:szCs w:val="24"/>
        </w:rPr>
        <w:t xml:space="preserve">Plus largement, </w:t>
      </w:r>
      <w:r w:rsidR="00BB69E0" w:rsidRPr="003F7035">
        <w:rPr>
          <w:rFonts w:ascii="Times New Roman" w:hAnsi="Times New Roman" w:cs="Times New Roman"/>
          <w:sz w:val="24"/>
          <w:szCs w:val="24"/>
        </w:rPr>
        <w:t>on doit remettre en cause</w:t>
      </w:r>
      <w:r w:rsidR="00D173AD" w:rsidRPr="003F7035">
        <w:rPr>
          <w:rFonts w:ascii="Times New Roman" w:hAnsi="Times New Roman" w:cs="Times New Roman"/>
          <w:sz w:val="24"/>
          <w:szCs w:val="24"/>
        </w:rPr>
        <w:t xml:space="preserve"> </w:t>
      </w:r>
      <w:r w:rsidR="002B37B3" w:rsidRPr="003F7035">
        <w:rPr>
          <w:rFonts w:ascii="Times New Roman" w:hAnsi="Times New Roman" w:cs="Times New Roman"/>
          <w:sz w:val="24"/>
          <w:szCs w:val="24"/>
        </w:rPr>
        <w:t xml:space="preserve">l’attitude qui consiste à se satisfaire d’une </w:t>
      </w:r>
      <w:r w:rsidR="00F940FD" w:rsidRPr="003F7035">
        <w:rPr>
          <w:rFonts w:ascii="Times New Roman" w:hAnsi="Times New Roman" w:cs="Times New Roman"/>
          <w:sz w:val="24"/>
          <w:szCs w:val="24"/>
        </w:rPr>
        <w:t>division du travail</w:t>
      </w:r>
      <w:r w:rsidR="00426165" w:rsidRPr="003F7035">
        <w:rPr>
          <w:rFonts w:ascii="Times New Roman" w:hAnsi="Times New Roman" w:cs="Times New Roman"/>
          <w:sz w:val="24"/>
          <w:szCs w:val="24"/>
        </w:rPr>
        <w:t xml:space="preserve"> du type « </w:t>
      </w:r>
      <w:r w:rsidR="00F940FD" w:rsidRPr="003F7035">
        <w:rPr>
          <w:rFonts w:ascii="Times New Roman" w:hAnsi="Times New Roman" w:cs="Times New Roman"/>
          <w:sz w:val="24"/>
          <w:szCs w:val="24"/>
        </w:rPr>
        <w:t xml:space="preserve">aux partis la gestion </w:t>
      </w:r>
      <w:r w:rsidR="00426165" w:rsidRPr="003F7035">
        <w:rPr>
          <w:rFonts w:ascii="Times New Roman" w:hAnsi="Times New Roman" w:cs="Times New Roman"/>
          <w:sz w:val="24"/>
          <w:szCs w:val="24"/>
        </w:rPr>
        <w:t xml:space="preserve">de l’Etat et des institutions, </w:t>
      </w:r>
      <w:r w:rsidR="00F940FD" w:rsidRPr="003F7035">
        <w:rPr>
          <w:rFonts w:ascii="Times New Roman" w:hAnsi="Times New Roman" w:cs="Times New Roman"/>
          <w:sz w:val="24"/>
          <w:szCs w:val="24"/>
        </w:rPr>
        <w:t xml:space="preserve">aux mouvements sociaux </w:t>
      </w:r>
      <w:r w:rsidR="00426165" w:rsidRPr="003F7035">
        <w:rPr>
          <w:rFonts w:ascii="Times New Roman" w:hAnsi="Times New Roman" w:cs="Times New Roman"/>
          <w:sz w:val="24"/>
          <w:szCs w:val="24"/>
        </w:rPr>
        <w:t>les luttes sociales »</w:t>
      </w:r>
      <w:r w:rsidR="00BB69E0" w:rsidRPr="003F7035">
        <w:rPr>
          <w:rFonts w:ascii="Times New Roman" w:hAnsi="Times New Roman" w:cs="Times New Roman"/>
          <w:sz w:val="24"/>
          <w:szCs w:val="24"/>
        </w:rPr>
        <w:t>.</w:t>
      </w:r>
      <w:r w:rsidR="00AD4E8C" w:rsidRPr="003F7035">
        <w:rPr>
          <w:rFonts w:ascii="Times New Roman" w:hAnsi="Times New Roman" w:cs="Times New Roman"/>
          <w:sz w:val="24"/>
          <w:szCs w:val="24"/>
        </w:rPr>
        <w:t xml:space="preserve"> </w:t>
      </w:r>
      <w:r w:rsidR="00CF50FD" w:rsidRPr="003F7035">
        <w:rPr>
          <w:rFonts w:ascii="Times New Roman" w:hAnsi="Times New Roman" w:cs="Times New Roman"/>
          <w:sz w:val="24"/>
          <w:szCs w:val="24"/>
        </w:rPr>
        <w:t>Dans les faits, cette attitude fut partagée non seulement par les partis mais aussi par ce</w:t>
      </w:r>
      <w:r w:rsidR="002858BB" w:rsidRPr="003F7035">
        <w:rPr>
          <w:rFonts w:ascii="Times New Roman" w:hAnsi="Times New Roman" w:cs="Times New Roman"/>
          <w:sz w:val="24"/>
          <w:szCs w:val="24"/>
        </w:rPr>
        <w:t>ux</w:t>
      </w:r>
      <w:r w:rsidR="002B37B3" w:rsidRPr="003F7035">
        <w:rPr>
          <w:rFonts w:ascii="Times New Roman" w:hAnsi="Times New Roman" w:cs="Times New Roman"/>
          <w:sz w:val="24"/>
          <w:szCs w:val="24"/>
        </w:rPr>
        <w:t xml:space="preserve"> </w:t>
      </w:r>
      <w:r w:rsidR="00CF50FD" w:rsidRPr="003F7035">
        <w:rPr>
          <w:rFonts w:ascii="Times New Roman" w:hAnsi="Times New Roman" w:cs="Times New Roman"/>
          <w:sz w:val="24"/>
          <w:szCs w:val="24"/>
        </w:rPr>
        <w:t>qui</w:t>
      </w:r>
      <w:r w:rsidR="002858BB" w:rsidRPr="003F7035">
        <w:rPr>
          <w:rFonts w:ascii="Times New Roman" w:hAnsi="Times New Roman" w:cs="Times New Roman"/>
          <w:sz w:val="24"/>
          <w:szCs w:val="24"/>
        </w:rPr>
        <w:t>, dans les mouvements sociaux, ont</w:t>
      </w:r>
      <w:r w:rsidR="002B37B3" w:rsidRPr="003F7035">
        <w:rPr>
          <w:rFonts w:ascii="Times New Roman" w:hAnsi="Times New Roman" w:cs="Times New Roman"/>
          <w:sz w:val="24"/>
          <w:szCs w:val="24"/>
        </w:rPr>
        <w:t xml:space="preserve"> tourné le dos à la question des institutions en se concentrant exclusivement sur les revendications sociales</w:t>
      </w:r>
      <w:r w:rsidR="00CF50FD" w:rsidRPr="003F7035">
        <w:rPr>
          <w:rFonts w:ascii="Times New Roman" w:hAnsi="Times New Roman" w:cs="Times New Roman"/>
          <w:sz w:val="24"/>
          <w:szCs w:val="24"/>
        </w:rPr>
        <w:t>. Comme on l</w:t>
      </w:r>
      <w:r w:rsidR="00B6415E" w:rsidRPr="003F7035">
        <w:rPr>
          <w:rFonts w:ascii="Times New Roman" w:hAnsi="Times New Roman" w:cs="Times New Roman"/>
          <w:sz w:val="24"/>
          <w:szCs w:val="24"/>
        </w:rPr>
        <w:t>e verra</w:t>
      </w:r>
      <w:r w:rsidR="00CF50FD" w:rsidRPr="003F7035">
        <w:rPr>
          <w:rStyle w:val="Appelnotedebasdep"/>
          <w:rFonts w:ascii="Times New Roman" w:hAnsi="Times New Roman" w:cs="Times New Roman"/>
          <w:sz w:val="24"/>
          <w:szCs w:val="24"/>
        </w:rPr>
        <w:footnoteReference w:id="11"/>
      </w:r>
      <w:r w:rsidR="00CF50FD" w:rsidRPr="003F7035">
        <w:rPr>
          <w:rFonts w:ascii="Times New Roman" w:hAnsi="Times New Roman" w:cs="Times New Roman"/>
          <w:sz w:val="24"/>
          <w:szCs w:val="24"/>
        </w:rPr>
        <w:t>, cela</w:t>
      </w:r>
      <w:r w:rsidR="00D173AD" w:rsidRPr="003F7035">
        <w:rPr>
          <w:rFonts w:ascii="Times New Roman" w:hAnsi="Times New Roman" w:cs="Times New Roman"/>
          <w:sz w:val="24"/>
          <w:szCs w:val="24"/>
        </w:rPr>
        <w:t xml:space="preserve"> s’est manifesté jusque dans les débats de la Constituante</w:t>
      </w:r>
      <w:r w:rsidR="00BB69E0" w:rsidRPr="003F7035">
        <w:rPr>
          <w:rFonts w:ascii="Times New Roman" w:hAnsi="Times New Roman" w:cs="Times New Roman"/>
          <w:sz w:val="24"/>
          <w:szCs w:val="24"/>
        </w:rPr>
        <w:t xml:space="preserve"> sur les articles relatifs à la définition de l’Etat.</w:t>
      </w:r>
      <w:r w:rsidR="002B37B3" w:rsidRPr="003F7035">
        <w:rPr>
          <w:rFonts w:ascii="Times New Roman" w:hAnsi="Times New Roman" w:cs="Times New Roman"/>
          <w:sz w:val="24"/>
          <w:szCs w:val="24"/>
        </w:rPr>
        <w:t xml:space="preserve"> </w:t>
      </w:r>
      <w:r w:rsidR="00CF50FD" w:rsidRPr="003F7035">
        <w:rPr>
          <w:rFonts w:ascii="Times New Roman" w:hAnsi="Times New Roman" w:cs="Times New Roman"/>
          <w:sz w:val="24"/>
          <w:szCs w:val="24"/>
        </w:rPr>
        <w:t xml:space="preserve">Or seule une unité stratégique entre le gouvernement, les partis et les mouvements </w:t>
      </w:r>
      <w:r w:rsidR="00CF50FD" w:rsidRPr="003F7035">
        <w:rPr>
          <w:rFonts w:ascii="Times New Roman" w:hAnsi="Times New Roman" w:cs="Times New Roman"/>
          <w:sz w:val="24"/>
          <w:szCs w:val="24"/>
        </w:rPr>
        <w:lastRenderedPageBreak/>
        <w:t>sociaux</w:t>
      </w:r>
      <w:r w:rsidR="009F571B" w:rsidRPr="003F7035">
        <w:rPr>
          <w:rFonts w:ascii="Times New Roman" w:hAnsi="Times New Roman" w:cs="Times New Roman"/>
          <w:sz w:val="24"/>
          <w:szCs w:val="24"/>
        </w:rPr>
        <w:t>,</w:t>
      </w:r>
      <w:r w:rsidR="00CF50FD" w:rsidRPr="003F7035">
        <w:rPr>
          <w:rFonts w:ascii="Times New Roman" w:hAnsi="Times New Roman" w:cs="Times New Roman"/>
          <w:sz w:val="24"/>
          <w:szCs w:val="24"/>
        </w:rPr>
        <w:t xml:space="preserve"> </w:t>
      </w:r>
      <w:r w:rsidR="00B6415E" w:rsidRPr="003F7035">
        <w:rPr>
          <w:rFonts w:ascii="Times New Roman" w:hAnsi="Times New Roman" w:cs="Times New Roman"/>
          <w:sz w:val="24"/>
          <w:szCs w:val="24"/>
        </w:rPr>
        <w:t xml:space="preserve">faisant bloc </w:t>
      </w:r>
      <w:r w:rsidR="00CF50FD" w:rsidRPr="003F7035">
        <w:rPr>
          <w:rFonts w:ascii="Times New Roman" w:hAnsi="Times New Roman" w:cs="Times New Roman"/>
          <w:sz w:val="24"/>
          <w:szCs w:val="24"/>
        </w:rPr>
        <w:t>autour de la Constituante</w:t>
      </w:r>
      <w:r w:rsidR="009F571B" w:rsidRPr="003F7035">
        <w:rPr>
          <w:rFonts w:ascii="Times New Roman" w:hAnsi="Times New Roman" w:cs="Times New Roman"/>
          <w:sz w:val="24"/>
          <w:szCs w:val="24"/>
        </w:rPr>
        <w:t xml:space="preserve">, </w:t>
      </w:r>
      <w:r w:rsidR="00CF50FD" w:rsidRPr="003F7035">
        <w:rPr>
          <w:rFonts w:ascii="Times New Roman" w:hAnsi="Times New Roman" w:cs="Times New Roman"/>
          <w:sz w:val="24"/>
          <w:szCs w:val="24"/>
        </w:rPr>
        <w:t>aurait permis une campagne efficace en faveur de l’</w:t>
      </w:r>
      <w:proofErr w:type="spellStart"/>
      <w:r w:rsidR="00CF50FD" w:rsidRPr="003F7035">
        <w:rPr>
          <w:rFonts w:ascii="Times New Roman" w:hAnsi="Times New Roman" w:cs="Times New Roman"/>
          <w:sz w:val="24"/>
          <w:szCs w:val="24"/>
        </w:rPr>
        <w:t>Apruebo</w:t>
      </w:r>
      <w:proofErr w:type="spellEnd"/>
      <w:r w:rsidR="00CF50FD" w:rsidRPr="003F7035">
        <w:rPr>
          <w:rFonts w:ascii="Times New Roman" w:hAnsi="Times New Roman" w:cs="Times New Roman"/>
          <w:sz w:val="24"/>
          <w:szCs w:val="24"/>
        </w:rPr>
        <w:t xml:space="preserve">. </w:t>
      </w:r>
      <w:r w:rsidR="00D54E64" w:rsidRPr="003F7035">
        <w:rPr>
          <w:rFonts w:ascii="Times New Roman" w:hAnsi="Times New Roman" w:cs="Times New Roman"/>
          <w:sz w:val="24"/>
          <w:szCs w:val="24"/>
        </w:rPr>
        <w:t>A l’inverse,</w:t>
      </w:r>
      <w:r w:rsidR="00B6415E" w:rsidRPr="003F7035">
        <w:rPr>
          <w:rFonts w:ascii="Times New Roman" w:hAnsi="Times New Roman" w:cs="Times New Roman"/>
          <w:sz w:val="24"/>
          <w:szCs w:val="24"/>
        </w:rPr>
        <w:t xml:space="preserve"> la</w:t>
      </w:r>
      <w:r w:rsidR="002B37B3" w:rsidRPr="003F7035">
        <w:rPr>
          <w:rFonts w:ascii="Times New Roman" w:hAnsi="Times New Roman" w:cs="Times New Roman"/>
          <w:sz w:val="24"/>
          <w:szCs w:val="24"/>
        </w:rPr>
        <w:t xml:space="preserve"> </w:t>
      </w:r>
      <w:r w:rsidR="009F571B" w:rsidRPr="003F7035">
        <w:rPr>
          <w:rFonts w:ascii="Times New Roman" w:hAnsi="Times New Roman" w:cs="Times New Roman"/>
          <w:sz w:val="24"/>
          <w:szCs w:val="24"/>
        </w:rPr>
        <w:t xml:space="preserve">fracture entre partis politiques et mouvements sociaux </w:t>
      </w:r>
      <w:r w:rsidR="00720AB6" w:rsidRPr="003F7035">
        <w:rPr>
          <w:rFonts w:ascii="Times New Roman" w:hAnsi="Times New Roman" w:cs="Times New Roman"/>
          <w:sz w:val="24"/>
          <w:szCs w:val="24"/>
        </w:rPr>
        <w:t>ne peut que conduire à l</w:t>
      </w:r>
      <w:r w:rsidR="00A14BB0" w:rsidRPr="003F7035">
        <w:rPr>
          <w:rFonts w:ascii="Times New Roman" w:hAnsi="Times New Roman" w:cs="Times New Roman"/>
          <w:sz w:val="24"/>
          <w:szCs w:val="24"/>
        </w:rPr>
        <w:t>’impuissance et à la paralysie</w:t>
      </w:r>
      <w:r w:rsidR="00426165" w:rsidRPr="003F7035">
        <w:rPr>
          <w:rFonts w:ascii="Times New Roman" w:hAnsi="Times New Roman" w:cs="Times New Roman"/>
          <w:sz w:val="24"/>
          <w:szCs w:val="24"/>
        </w:rPr>
        <w:t xml:space="preserve"> aussi bien les partis que les mouvements sociaux</w:t>
      </w:r>
      <w:r w:rsidR="00720AB6" w:rsidRPr="003F7035">
        <w:rPr>
          <w:rFonts w:ascii="Times New Roman" w:hAnsi="Times New Roman" w:cs="Times New Roman"/>
          <w:sz w:val="24"/>
          <w:szCs w:val="24"/>
        </w:rPr>
        <w:t>.</w:t>
      </w:r>
    </w:p>
    <w:sectPr w:rsidR="00D204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ED2F" w14:textId="77777777" w:rsidR="00C34AB9" w:rsidRDefault="00C34AB9" w:rsidP="007B0EFF">
      <w:pPr>
        <w:spacing w:after="0" w:line="240" w:lineRule="auto"/>
      </w:pPr>
      <w:r>
        <w:separator/>
      </w:r>
    </w:p>
  </w:endnote>
  <w:endnote w:type="continuationSeparator" w:id="0">
    <w:p w14:paraId="7974BF34" w14:textId="77777777" w:rsidR="00C34AB9" w:rsidRDefault="00C34AB9" w:rsidP="007B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49129"/>
      <w:docPartObj>
        <w:docPartGallery w:val="Page Numbers (Bottom of Page)"/>
        <w:docPartUnique/>
      </w:docPartObj>
    </w:sdtPr>
    <w:sdtContent>
      <w:p w14:paraId="590A1E8C" w14:textId="3E8B5C01" w:rsidR="007B0EFF" w:rsidRDefault="007B0EFF">
        <w:pPr>
          <w:pStyle w:val="Pieddepage"/>
          <w:jc w:val="right"/>
        </w:pPr>
        <w:r>
          <w:fldChar w:fldCharType="begin"/>
        </w:r>
        <w:r>
          <w:instrText>PAGE   \* MERGEFORMAT</w:instrText>
        </w:r>
        <w:r>
          <w:fldChar w:fldCharType="separate"/>
        </w:r>
        <w:r>
          <w:t>2</w:t>
        </w:r>
        <w:r>
          <w:fldChar w:fldCharType="end"/>
        </w:r>
      </w:p>
    </w:sdtContent>
  </w:sdt>
  <w:p w14:paraId="5915BF9A" w14:textId="77777777" w:rsidR="007B0EFF" w:rsidRDefault="007B0E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22D1" w14:textId="77777777" w:rsidR="00C34AB9" w:rsidRDefault="00C34AB9" w:rsidP="007B0EFF">
      <w:pPr>
        <w:spacing w:after="0" w:line="240" w:lineRule="auto"/>
      </w:pPr>
      <w:r>
        <w:separator/>
      </w:r>
    </w:p>
  </w:footnote>
  <w:footnote w:type="continuationSeparator" w:id="0">
    <w:p w14:paraId="64D7905C" w14:textId="77777777" w:rsidR="00C34AB9" w:rsidRDefault="00C34AB9" w:rsidP="007B0EFF">
      <w:pPr>
        <w:spacing w:after="0" w:line="240" w:lineRule="auto"/>
      </w:pPr>
      <w:r>
        <w:continuationSeparator/>
      </w:r>
    </w:p>
  </w:footnote>
  <w:footnote w:id="1">
    <w:p w14:paraId="0B184D5E" w14:textId="26D6550A" w:rsidR="005D4A8C" w:rsidRPr="001205E5" w:rsidRDefault="005D4A8C" w:rsidP="001C39F5">
      <w:pPr>
        <w:pStyle w:val="Notedebasdepage"/>
        <w:jc w:val="both"/>
        <w:rPr>
          <w:rFonts w:ascii="Times New Roman" w:hAnsi="Times New Roman" w:cs="Times New Roman"/>
        </w:rPr>
      </w:pPr>
      <w:r w:rsidRPr="005D4A8C">
        <w:rPr>
          <w:rStyle w:val="Appelnotedebasdep"/>
          <w:rFonts w:ascii="Times New Roman" w:hAnsi="Times New Roman" w:cs="Times New Roman"/>
        </w:rPr>
        <w:footnoteRef/>
      </w:r>
      <w:r w:rsidRPr="005D4A8C">
        <w:rPr>
          <w:rFonts w:ascii="Times New Roman" w:hAnsi="Times New Roman" w:cs="Times New Roman"/>
          <w:lang w:val="es-ES"/>
        </w:rPr>
        <w:t xml:space="preserve"> Mauricio Onetto </w:t>
      </w:r>
      <w:proofErr w:type="spellStart"/>
      <w:r w:rsidRPr="005D4A8C">
        <w:rPr>
          <w:rFonts w:ascii="Times New Roman" w:hAnsi="Times New Roman" w:cs="Times New Roman"/>
          <w:lang w:val="es-ES"/>
        </w:rPr>
        <w:t>Pavez</w:t>
      </w:r>
      <w:proofErr w:type="spellEnd"/>
      <w:r w:rsidRPr="005D4A8C">
        <w:rPr>
          <w:rFonts w:ascii="Times New Roman" w:hAnsi="Times New Roman" w:cs="Times New Roman"/>
          <w:lang w:val="es-ES"/>
        </w:rPr>
        <w:t>, “Apruebo y Rechazo como interpretación política de la Historia de Chile”, C</w:t>
      </w:r>
      <w:r>
        <w:rPr>
          <w:rFonts w:ascii="Times New Roman" w:hAnsi="Times New Roman" w:cs="Times New Roman"/>
          <w:lang w:val="es-ES"/>
        </w:rPr>
        <w:t>IPER</w:t>
      </w:r>
      <w:r w:rsidRPr="005D4A8C">
        <w:rPr>
          <w:rFonts w:ascii="Times New Roman" w:hAnsi="Times New Roman" w:cs="Times New Roman"/>
          <w:lang w:val="es-ES"/>
        </w:rPr>
        <w:t xml:space="preserve">, 02.08.2022. </w:t>
      </w:r>
      <w:r w:rsidR="001205E5" w:rsidRPr="001205E5">
        <w:rPr>
          <w:rFonts w:ascii="Times New Roman" w:hAnsi="Times New Roman" w:cs="Times New Roman"/>
        </w:rPr>
        <w:t xml:space="preserve">Le mouvement des </w:t>
      </w:r>
      <w:proofErr w:type="spellStart"/>
      <w:r w:rsidR="001205E5" w:rsidRPr="001205E5">
        <w:rPr>
          <w:rFonts w:ascii="Times New Roman" w:hAnsi="Times New Roman" w:cs="Times New Roman"/>
        </w:rPr>
        <w:t>Amarillos</w:t>
      </w:r>
      <w:proofErr w:type="spellEnd"/>
      <w:r w:rsidR="001205E5" w:rsidRPr="001205E5">
        <w:rPr>
          <w:rFonts w:ascii="Times New Roman" w:hAnsi="Times New Roman" w:cs="Times New Roman"/>
        </w:rPr>
        <w:t xml:space="preserve"> </w:t>
      </w:r>
      <w:r w:rsidR="000B0E7A">
        <w:rPr>
          <w:rFonts w:ascii="Times New Roman" w:hAnsi="Times New Roman" w:cs="Times New Roman"/>
        </w:rPr>
        <w:t xml:space="preserve">(éloigné des deux extrêmes du rouge et du bleu) </w:t>
      </w:r>
      <w:r w:rsidR="00694DC1">
        <w:rPr>
          <w:rFonts w:ascii="Times New Roman" w:hAnsi="Times New Roman" w:cs="Times New Roman"/>
        </w:rPr>
        <w:t>s’est constitué en 2022</w:t>
      </w:r>
      <w:r w:rsidR="001205E5" w:rsidRPr="001205E5">
        <w:rPr>
          <w:rFonts w:ascii="Times New Roman" w:hAnsi="Times New Roman" w:cs="Times New Roman"/>
        </w:rPr>
        <w:t xml:space="preserve"> </w:t>
      </w:r>
      <w:r w:rsidR="00694DC1">
        <w:rPr>
          <w:rFonts w:ascii="Times New Roman" w:hAnsi="Times New Roman" w:cs="Times New Roman"/>
        </w:rPr>
        <w:t>à partir de la critique d</w:t>
      </w:r>
      <w:r w:rsidR="00744E0F">
        <w:rPr>
          <w:rFonts w:ascii="Times New Roman" w:hAnsi="Times New Roman" w:cs="Times New Roman"/>
        </w:rPr>
        <w:t>u projet de la Constituante et</w:t>
      </w:r>
      <w:r w:rsidR="007025E1">
        <w:rPr>
          <w:rFonts w:ascii="Times New Roman" w:hAnsi="Times New Roman" w:cs="Times New Roman"/>
        </w:rPr>
        <w:t xml:space="preserve"> </w:t>
      </w:r>
      <w:r w:rsidR="001205E5" w:rsidRPr="001205E5">
        <w:rPr>
          <w:rFonts w:ascii="Times New Roman" w:hAnsi="Times New Roman" w:cs="Times New Roman"/>
        </w:rPr>
        <w:t xml:space="preserve">regroupe </w:t>
      </w:r>
      <w:r w:rsidR="007025E1">
        <w:rPr>
          <w:rFonts w:ascii="Times New Roman" w:hAnsi="Times New Roman" w:cs="Times New Roman"/>
        </w:rPr>
        <w:t xml:space="preserve">surtout </w:t>
      </w:r>
      <w:r w:rsidR="001205E5" w:rsidRPr="001205E5">
        <w:rPr>
          <w:rFonts w:ascii="Times New Roman" w:hAnsi="Times New Roman" w:cs="Times New Roman"/>
        </w:rPr>
        <w:t>d</w:t>
      </w:r>
      <w:r w:rsidR="00EC2BCA">
        <w:rPr>
          <w:rFonts w:ascii="Times New Roman" w:hAnsi="Times New Roman" w:cs="Times New Roman"/>
        </w:rPr>
        <w:t xml:space="preserve">es membres de l’élite sociale et politique, notamment d’anciens </w:t>
      </w:r>
      <w:r w:rsidR="00014061">
        <w:rPr>
          <w:rFonts w:ascii="Times New Roman" w:hAnsi="Times New Roman" w:cs="Times New Roman"/>
        </w:rPr>
        <w:t>politiciens</w:t>
      </w:r>
      <w:r w:rsidR="001205E5">
        <w:rPr>
          <w:rFonts w:ascii="Times New Roman" w:hAnsi="Times New Roman" w:cs="Times New Roman"/>
        </w:rPr>
        <w:t xml:space="preserve"> de la Concertation</w:t>
      </w:r>
      <w:r w:rsidR="001C39F5">
        <w:rPr>
          <w:rFonts w:ascii="Times New Roman" w:hAnsi="Times New Roman" w:cs="Times New Roman"/>
        </w:rPr>
        <w:t xml:space="preserve"> (PPD et PDC).</w:t>
      </w:r>
    </w:p>
  </w:footnote>
  <w:footnote w:id="2">
    <w:p w14:paraId="2E094C13" w14:textId="4F23544B" w:rsidR="007C227C" w:rsidRPr="007C227C" w:rsidRDefault="007C227C">
      <w:pPr>
        <w:pStyle w:val="Notedebasdepage"/>
        <w:rPr>
          <w:rFonts w:ascii="Times New Roman" w:hAnsi="Times New Roman" w:cs="Times New Roman"/>
        </w:rPr>
      </w:pPr>
      <w:r w:rsidRPr="007C227C">
        <w:rPr>
          <w:rStyle w:val="Appelnotedebasdep"/>
          <w:rFonts w:ascii="Times New Roman" w:hAnsi="Times New Roman" w:cs="Times New Roman"/>
        </w:rPr>
        <w:footnoteRef/>
      </w:r>
      <w:r w:rsidRPr="007C227C">
        <w:rPr>
          <w:rFonts w:ascii="Times New Roman" w:hAnsi="Times New Roman" w:cs="Times New Roman"/>
        </w:rPr>
        <w:t xml:space="preserve"> Reprise littérale de la formule de </w:t>
      </w:r>
      <w:r>
        <w:rPr>
          <w:rFonts w:ascii="Times New Roman" w:hAnsi="Times New Roman" w:cs="Times New Roman"/>
        </w:rPr>
        <w:t>l’</w:t>
      </w:r>
      <w:r w:rsidRPr="007C227C">
        <w:rPr>
          <w:rFonts w:ascii="Times New Roman" w:hAnsi="Times New Roman" w:cs="Times New Roman"/>
        </w:rPr>
        <w:t>art. 1.1 de la PNC.</w:t>
      </w:r>
    </w:p>
  </w:footnote>
  <w:footnote w:id="3">
    <w:p w14:paraId="06E1DB5C" w14:textId="6B7E2E0E" w:rsidR="00EF3696" w:rsidRPr="00EF3696" w:rsidRDefault="00EF3696">
      <w:pPr>
        <w:pStyle w:val="Notedebasdepage"/>
        <w:rPr>
          <w:rFonts w:ascii="Times New Roman" w:hAnsi="Times New Roman" w:cs="Times New Roman"/>
        </w:rPr>
      </w:pPr>
      <w:r w:rsidRPr="00EF3696">
        <w:rPr>
          <w:rStyle w:val="Appelnotedebasdep"/>
          <w:rFonts w:ascii="Times New Roman" w:hAnsi="Times New Roman" w:cs="Times New Roman"/>
        </w:rPr>
        <w:footnoteRef/>
      </w:r>
      <w:r w:rsidRPr="00EF3696">
        <w:rPr>
          <w:rFonts w:ascii="Times New Roman" w:hAnsi="Times New Roman" w:cs="Times New Roman"/>
        </w:rPr>
        <w:t xml:space="preserve"> Cf. articles 2.1, 5.1, 18.</w:t>
      </w:r>
    </w:p>
  </w:footnote>
  <w:footnote w:id="4">
    <w:p w14:paraId="09C75537" w14:textId="63AD0D47" w:rsidR="00D36599" w:rsidRPr="00D36599" w:rsidRDefault="00D36599">
      <w:pPr>
        <w:pStyle w:val="Notedebasdepage"/>
        <w:rPr>
          <w:rFonts w:ascii="Times New Roman" w:hAnsi="Times New Roman" w:cs="Times New Roman"/>
        </w:rPr>
      </w:pPr>
      <w:r w:rsidRPr="00D36599">
        <w:rPr>
          <w:rStyle w:val="Appelnotedebasdep"/>
          <w:rFonts w:ascii="Times New Roman" w:hAnsi="Times New Roman" w:cs="Times New Roman"/>
        </w:rPr>
        <w:footnoteRef/>
      </w:r>
      <w:r w:rsidRPr="00D36599">
        <w:rPr>
          <w:rFonts w:ascii="Times New Roman" w:hAnsi="Times New Roman" w:cs="Times New Roman"/>
        </w:rPr>
        <w:t xml:space="preserve"> Cf. la conclusion de notre livre</w:t>
      </w:r>
      <w:r>
        <w:rPr>
          <w:rFonts w:ascii="Times New Roman" w:hAnsi="Times New Roman" w:cs="Times New Roman"/>
        </w:rPr>
        <w:t xml:space="preserve"> (note 22)</w:t>
      </w:r>
      <w:r w:rsidRPr="00D36599">
        <w:rPr>
          <w:rFonts w:ascii="Times New Roman" w:hAnsi="Times New Roman" w:cs="Times New Roman"/>
        </w:rPr>
        <w:t>.</w:t>
      </w:r>
    </w:p>
  </w:footnote>
  <w:footnote w:id="5">
    <w:p w14:paraId="3AD99CD3" w14:textId="36356B0C" w:rsidR="00FC410A" w:rsidRPr="00FC410A" w:rsidRDefault="00FC410A">
      <w:pPr>
        <w:pStyle w:val="Notedebasdepage"/>
        <w:rPr>
          <w:rFonts w:ascii="Times New Roman" w:hAnsi="Times New Roman" w:cs="Times New Roman"/>
        </w:rPr>
      </w:pPr>
      <w:r w:rsidRPr="00FC410A">
        <w:rPr>
          <w:rStyle w:val="Appelnotedebasdep"/>
          <w:rFonts w:ascii="Times New Roman" w:hAnsi="Times New Roman" w:cs="Times New Roman"/>
        </w:rPr>
        <w:footnoteRef/>
      </w:r>
      <w:r w:rsidRPr="00FC410A">
        <w:rPr>
          <w:rFonts w:ascii="Times New Roman" w:hAnsi="Times New Roman" w:cs="Times New Roman"/>
        </w:rPr>
        <w:t xml:space="preserve"> On admirera </w:t>
      </w:r>
      <w:r w:rsidR="000B0360">
        <w:rPr>
          <w:rFonts w:ascii="Times New Roman" w:hAnsi="Times New Roman" w:cs="Times New Roman"/>
        </w:rPr>
        <w:t xml:space="preserve">au passage </w:t>
      </w:r>
      <w:r w:rsidRPr="00FC410A">
        <w:rPr>
          <w:rFonts w:ascii="Times New Roman" w:hAnsi="Times New Roman" w:cs="Times New Roman"/>
        </w:rPr>
        <w:t>le « peuvent ».</w:t>
      </w:r>
    </w:p>
  </w:footnote>
  <w:footnote w:id="6">
    <w:p w14:paraId="2BEA36C0" w14:textId="271A4557" w:rsidR="000D46A5" w:rsidRPr="000D46A5" w:rsidRDefault="000D46A5" w:rsidP="000D46A5">
      <w:pPr>
        <w:pStyle w:val="Notedebasdepage"/>
        <w:jc w:val="both"/>
        <w:rPr>
          <w:rFonts w:ascii="Times New Roman" w:hAnsi="Times New Roman" w:cs="Times New Roman"/>
          <w:lang w:val="es-ES"/>
        </w:rPr>
      </w:pPr>
      <w:r w:rsidRPr="000D46A5">
        <w:rPr>
          <w:rStyle w:val="Appelnotedebasdep"/>
          <w:rFonts w:ascii="Times New Roman" w:hAnsi="Times New Roman" w:cs="Times New Roman"/>
        </w:rPr>
        <w:footnoteRef/>
      </w:r>
      <w:r w:rsidRPr="00EB191F">
        <w:rPr>
          <w:rFonts w:ascii="Times New Roman" w:hAnsi="Times New Roman" w:cs="Times New Roman"/>
          <w:lang w:val="es-ES"/>
        </w:rPr>
        <w:t xml:space="preserve"> Editorial 15</w:t>
      </w:r>
      <w:r w:rsidR="0001379F" w:rsidRPr="003F7035">
        <w:rPr>
          <w:rFonts w:ascii="Times New Roman" w:hAnsi="Times New Roman" w:cs="Times New Roman"/>
          <w:lang w:val="es-ES"/>
        </w:rPr>
        <w:t>, Revista Rosa</w:t>
      </w:r>
      <w:r w:rsidRPr="003F7035">
        <w:rPr>
          <w:rFonts w:ascii="Times New Roman" w:hAnsi="Times New Roman" w:cs="Times New Roman"/>
          <w:lang w:val="es-ES"/>
        </w:rPr>
        <w:t>.</w:t>
      </w:r>
      <w:r w:rsidRPr="00EB191F">
        <w:rPr>
          <w:rFonts w:ascii="Times New Roman" w:hAnsi="Times New Roman" w:cs="Times New Roman"/>
          <w:lang w:val="es-ES"/>
        </w:rPr>
        <w:t xml:space="preserve"> </w:t>
      </w:r>
      <w:r w:rsidRPr="000D46A5">
        <w:rPr>
          <w:rFonts w:ascii="Times New Roman" w:hAnsi="Times New Roman" w:cs="Times New Roman"/>
          <w:lang w:val="es-ES"/>
        </w:rPr>
        <w:t xml:space="preserve">¿Como llegamos a </w:t>
      </w:r>
      <w:r w:rsidR="00F75AFF" w:rsidRPr="000D46A5">
        <w:rPr>
          <w:rFonts w:ascii="Times New Roman" w:hAnsi="Times New Roman" w:cs="Times New Roman"/>
          <w:lang w:val="es-ES"/>
        </w:rPr>
        <w:t>esto?</w:t>
      </w:r>
      <w:r w:rsidRPr="000D46A5">
        <w:rPr>
          <w:rFonts w:ascii="Times New Roman" w:hAnsi="Times New Roman" w:cs="Times New Roman"/>
          <w:lang w:val="es-ES"/>
        </w:rPr>
        <w:t xml:space="preserve"> https://www.revistarosa.cl/2022/12/18/editorial-15-como-llegamos-a-esto/</w:t>
      </w:r>
    </w:p>
  </w:footnote>
  <w:footnote w:id="7">
    <w:p w14:paraId="78DAA35D" w14:textId="15B6C606" w:rsidR="00952A24" w:rsidRPr="00952A24" w:rsidRDefault="00952A24">
      <w:pPr>
        <w:pStyle w:val="Notedebasdepage"/>
        <w:rPr>
          <w:rFonts w:ascii="Times New Roman" w:hAnsi="Times New Roman" w:cs="Times New Roman"/>
        </w:rPr>
      </w:pPr>
      <w:r w:rsidRPr="00952A24">
        <w:rPr>
          <w:rStyle w:val="Appelnotedebasdep"/>
          <w:rFonts w:ascii="Times New Roman" w:hAnsi="Times New Roman" w:cs="Times New Roman"/>
        </w:rPr>
        <w:footnoteRef/>
      </w:r>
      <w:r w:rsidRPr="00952A24">
        <w:rPr>
          <w:rFonts w:ascii="Times New Roman" w:hAnsi="Times New Roman" w:cs="Times New Roman"/>
        </w:rPr>
        <w:t xml:space="preserve"> </w:t>
      </w:r>
      <w:r w:rsidRPr="00952A24">
        <w:rPr>
          <w:rFonts w:ascii="Times New Roman" w:hAnsi="Times New Roman" w:cs="Times New Roman"/>
          <w:i/>
          <w:iCs/>
        </w:rPr>
        <w:t>Ibid.</w:t>
      </w:r>
    </w:p>
  </w:footnote>
  <w:footnote w:id="8">
    <w:p w14:paraId="6D9DBD97" w14:textId="279B0EFB" w:rsidR="008A1D43" w:rsidRPr="00F12405" w:rsidRDefault="008A1D43" w:rsidP="00F12405">
      <w:pPr>
        <w:pStyle w:val="Notedebasdepage"/>
        <w:jc w:val="both"/>
        <w:rPr>
          <w:rFonts w:ascii="Times New Roman" w:hAnsi="Times New Roman" w:cs="Times New Roman"/>
        </w:rPr>
      </w:pPr>
      <w:r w:rsidRPr="00F12405">
        <w:rPr>
          <w:rStyle w:val="Appelnotedebasdep"/>
          <w:rFonts w:ascii="Times New Roman" w:hAnsi="Times New Roman" w:cs="Times New Roman"/>
        </w:rPr>
        <w:footnoteRef/>
      </w:r>
      <w:r w:rsidRPr="00F12405">
        <w:rPr>
          <w:rFonts w:ascii="Times New Roman" w:hAnsi="Times New Roman" w:cs="Times New Roman"/>
        </w:rPr>
        <w:t xml:space="preserve"> Président du Chili de 2000 à 2006 (centre-gauche de la Concertation).</w:t>
      </w:r>
      <w:r w:rsidR="00F12405" w:rsidRPr="00F12405">
        <w:rPr>
          <w:rFonts w:ascii="Times New Roman" w:hAnsi="Times New Roman" w:cs="Times New Roman"/>
        </w:rPr>
        <w:t xml:space="preserve"> Sur cette similitude entre les positions de Boric et de Lagos, cf. Marcelo </w:t>
      </w:r>
      <w:proofErr w:type="spellStart"/>
      <w:r w:rsidR="00F12405" w:rsidRPr="00F12405">
        <w:rPr>
          <w:rFonts w:ascii="Times New Roman" w:hAnsi="Times New Roman" w:cs="Times New Roman"/>
        </w:rPr>
        <w:t>Mella</w:t>
      </w:r>
      <w:proofErr w:type="spellEnd"/>
      <w:r w:rsidR="00F12405" w:rsidRPr="00F12405">
        <w:rPr>
          <w:rFonts w:ascii="Times New Roman" w:hAnsi="Times New Roman" w:cs="Times New Roman"/>
        </w:rPr>
        <w:t xml:space="preserve"> </w:t>
      </w:r>
      <w:proofErr w:type="spellStart"/>
      <w:r w:rsidR="00F12405" w:rsidRPr="00F12405">
        <w:rPr>
          <w:rFonts w:ascii="Times New Roman" w:hAnsi="Times New Roman" w:cs="Times New Roman"/>
        </w:rPr>
        <w:t>Polanco</w:t>
      </w:r>
      <w:proofErr w:type="spellEnd"/>
      <w:r w:rsidR="00F12405" w:rsidRPr="00F12405">
        <w:rPr>
          <w:rFonts w:ascii="Times New Roman" w:hAnsi="Times New Roman" w:cs="Times New Roman"/>
        </w:rPr>
        <w:t xml:space="preserve">, « Tactique présidentielle avant le plébiscite : les airs de famille », 19.07.2022, CIPER. </w:t>
      </w:r>
    </w:p>
  </w:footnote>
  <w:footnote w:id="9">
    <w:p w14:paraId="7ACC32A3" w14:textId="13019D88" w:rsidR="00644DC6" w:rsidRPr="003F7035" w:rsidRDefault="00644DC6" w:rsidP="00AE69EF">
      <w:pPr>
        <w:pStyle w:val="Notedebasdepage"/>
        <w:jc w:val="both"/>
        <w:rPr>
          <w:rFonts w:ascii="Times New Roman" w:hAnsi="Times New Roman" w:cs="Times New Roman"/>
        </w:rPr>
      </w:pPr>
      <w:r w:rsidRPr="003F7035">
        <w:rPr>
          <w:rStyle w:val="Appelnotedebasdep"/>
          <w:rFonts w:ascii="Times New Roman" w:hAnsi="Times New Roman" w:cs="Times New Roman"/>
        </w:rPr>
        <w:footnoteRef/>
      </w:r>
      <w:r w:rsidRPr="003F7035">
        <w:rPr>
          <w:rFonts w:ascii="Times New Roman" w:hAnsi="Times New Roman" w:cs="Times New Roman"/>
        </w:rPr>
        <w:t xml:space="preserve"> </w:t>
      </w:r>
      <w:r w:rsidR="005D5159" w:rsidRPr="003F7035">
        <w:rPr>
          <w:rFonts w:ascii="Times New Roman" w:hAnsi="Times New Roman" w:cs="Times New Roman"/>
        </w:rPr>
        <w:t>CNN Chile bit.ly/3LWxVVH#NoticiasExpressCNN</w:t>
      </w:r>
      <w:r w:rsidR="00AE69EF" w:rsidRPr="003F7035">
        <w:rPr>
          <w:rFonts w:ascii="Times New Roman" w:hAnsi="Times New Roman" w:cs="Times New Roman"/>
        </w:rPr>
        <w:t xml:space="preserve">. Il est à noter que Boric est passé en quelques années du populisme </w:t>
      </w:r>
      <w:r w:rsidR="002858BB" w:rsidRPr="003F7035">
        <w:rPr>
          <w:rFonts w:ascii="Times New Roman" w:hAnsi="Times New Roman" w:cs="Times New Roman"/>
        </w:rPr>
        <w:t>« </w:t>
      </w:r>
      <w:r w:rsidR="00AE69EF" w:rsidRPr="003F7035">
        <w:rPr>
          <w:rFonts w:ascii="Times New Roman" w:hAnsi="Times New Roman" w:cs="Times New Roman"/>
        </w:rPr>
        <w:t>à la Podemos</w:t>
      </w:r>
      <w:r w:rsidR="002858BB" w:rsidRPr="003F7035">
        <w:rPr>
          <w:rFonts w:ascii="Times New Roman" w:hAnsi="Times New Roman" w:cs="Times New Roman"/>
        </w:rPr>
        <w:t> »</w:t>
      </w:r>
      <w:r w:rsidR="00AE69EF" w:rsidRPr="003F7035">
        <w:rPr>
          <w:rFonts w:ascii="Times New Roman" w:hAnsi="Times New Roman" w:cs="Times New Roman"/>
        </w:rPr>
        <w:t xml:space="preserve"> à une variété de concertationisme. Il n’est désormais plus question pour lui de faire du parti le moyen de surmonter l’hétérogénéité des demandes sociales (comme le commande la stratégie populiste), mais de promouvoir un socle minimal qui n’emprunte plus rien à ces demandes rebaptisées pour la circonstance « revendications identitaires ».</w:t>
      </w:r>
    </w:p>
  </w:footnote>
  <w:footnote w:id="10">
    <w:p w14:paraId="48F7E586" w14:textId="56AAF1F9" w:rsidR="00612DC5" w:rsidRPr="003F7035" w:rsidRDefault="00612DC5">
      <w:pPr>
        <w:pStyle w:val="Notedebasdepage"/>
        <w:rPr>
          <w:rFonts w:ascii="Times New Roman" w:hAnsi="Times New Roman" w:cs="Times New Roman"/>
          <w:lang w:val="es-ES"/>
        </w:rPr>
      </w:pPr>
      <w:r w:rsidRPr="003F7035">
        <w:rPr>
          <w:rStyle w:val="Appelnotedebasdep"/>
          <w:rFonts w:ascii="Times New Roman" w:hAnsi="Times New Roman" w:cs="Times New Roman"/>
        </w:rPr>
        <w:footnoteRef/>
      </w:r>
      <w:r w:rsidRPr="003F7035">
        <w:rPr>
          <w:rFonts w:ascii="Times New Roman" w:hAnsi="Times New Roman" w:cs="Times New Roman"/>
          <w:lang w:val="es-ES"/>
        </w:rPr>
        <w:t xml:space="preserve"> Editorial 15, Revista Rosa, </w:t>
      </w:r>
      <w:proofErr w:type="spellStart"/>
      <w:r w:rsidRPr="003F7035">
        <w:rPr>
          <w:rFonts w:ascii="Times New Roman" w:hAnsi="Times New Roman" w:cs="Times New Roman"/>
          <w:i/>
          <w:iCs/>
          <w:lang w:val="es-ES"/>
        </w:rPr>
        <w:t>op</w:t>
      </w:r>
      <w:proofErr w:type="spellEnd"/>
      <w:r w:rsidRPr="003F7035">
        <w:rPr>
          <w:rFonts w:ascii="Times New Roman" w:hAnsi="Times New Roman" w:cs="Times New Roman"/>
          <w:i/>
          <w:iCs/>
          <w:lang w:val="es-ES"/>
        </w:rPr>
        <w:t>. cit</w:t>
      </w:r>
      <w:r w:rsidRPr="003F7035">
        <w:rPr>
          <w:rFonts w:ascii="Times New Roman" w:hAnsi="Times New Roman" w:cs="Times New Roman"/>
          <w:lang w:val="es-ES"/>
        </w:rPr>
        <w:t>.</w:t>
      </w:r>
    </w:p>
  </w:footnote>
  <w:footnote w:id="11">
    <w:p w14:paraId="5A15FB0D" w14:textId="77777777" w:rsidR="00CF50FD" w:rsidRPr="00A61A97" w:rsidRDefault="00CF50FD" w:rsidP="00CF50FD">
      <w:pPr>
        <w:pStyle w:val="Notedebasdepage"/>
        <w:rPr>
          <w:rFonts w:ascii="Times New Roman" w:hAnsi="Times New Roman" w:cs="Times New Roman"/>
        </w:rPr>
      </w:pPr>
      <w:r w:rsidRPr="003F7035">
        <w:rPr>
          <w:rStyle w:val="Appelnotedebasdep"/>
          <w:rFonts w:ascii="Times New Roman" w:hAnsi="Times New Roman" w:cs="Times New Roman"/>
        </w:rPr>
        <w:footnoteRef/>
      </w:r>
      <w:r w:rsidRPr="003F7035">
        <w:rPr>
          <w:rFonts w:ascii="Times New Roman" w:hAnsi="Times New Roman" w:cs="Times New Roman"/>
        </w:rPr>
        <w:t xml:space="preserve"> Cf. ci-dessous, chapitre 5, Une Constitution à « deux âmes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31"/>
    <w:rsid w:val="00004800"/>
    <w:rsid w:val="0001379F"/>
    <w:rsid w:val="00014061"/>
    <w:rsid w:val="000162BF"/>
    <w:rsid w:val="000440AB"/>
    <w:rsid w:val="0007487D"/>
    <w:rsid w:val="00093123"/>
    <w:rsid w:val="000A2231"/>
    <w:rsid w:val="000A5719"/>
    <w:rsid w:val="000B0360"/>
    <w:rsid w:val="000B0E7A"/>
    <w:rsid w:val="000B51FA"/>
    <w:rsid w:val="000B69DF"/>
    <w:rsid w:val="000C3F1A"/>
    <w:rsid w:val="000D46A5"/>
    <w:rsid w:val="00104146"/>
    <w:rsid w:val="001205E5"/>
    <w:rsid w:val="001218E9"/>
    <w:rsid w:val="001366F1"/>
    <w:rsid w:val="001415E5"/>
    <w:rsid w:val="00150DFA"/>
    <w:rsid w:val="0016231F"/>
    <w:rsid w:val="001A4A7A"/>
    <w:rsid w:val="001B2A9E"/>
    <w:rsid w:val="001B54E6"/>
    <w:rsid w:val="001C39F5"/>
    <w:rsid w:val="001D12DF"/>
    <w:rsid w:val="001E2131"/>
    <w:rsid w:val="001F7CAE"/>
    <w:rsid w:val="00211856"/>
    <w:rsid w:val="002535B6"/>
    <w:rsid w:val="00284993"/>
    <w:rsid w:val="002858BB"/>
    <w:rsid w:val="00297691"/>
    <w:rsid w:val="002A562D"/>
    <w:rsid w:val="002B37B3"/>
    <w:rsid w:val="002C5C0B"/>
    <w:rsid w:val="002C5C24"/>
    <w:rsid w:val="002F2FE6"/>
    <w:rsid w:val="00320F06"/>
    <w:rsid w:val="00337FC9"/>
    <w:rsid w:val="00345B2C"/>
    <w:rsid w:val="00382428"/>
    <w:rsid w:val="0039003D"/>
    <w:rsid w:val="00396121"/>
    <w:rsid w:val="003A3C9E"/>
    <w:rsid w:val="003B644D"/>
    <w:rsid w:val="003C5DFB"/>
    <w:rsid w:val="003D0A7A"/>
    <w:rsid w:val="003E3AF0"/>
    <w:rsid w:val="003F7035"/>
    <w:rsid w:val="00405213"/>
    <w:rsid w:val="00412B2F"/>
    <w:rsid w:val="00426165"/>
    <w:rsid w:val="00455D7B"/>
    <w:rsid w:val="00462948"/>
    <w:rsid w:val="004833E9"/>
    <w:rsid w:val="004A5061"/>
    <w:rsid w:val="004D37B7"/>
    <w:rsid w:val="004E6685"/>
    <w:rsid w:val="004F012F"/>
    <w:rsid w:val="00517BF5"/>
    <w:rsid w:val="005277B0"/>
    <w:rsid w:val="00532359"/>
    <w:rsid w:val="005435E5"/>
    <w:rsid w:val="00564E43"/>
    <w:rsid w:val="005737D6"/>
    <w:rsid w:val="0058273A"/>
    <w:rsid w:val="0058322E"/>
    <w:rsid w:val="00586292"/>
    <w:rsid w:val="005A2544"/>
    <w:rsid w:val="005A3194"/>
    <w:rsid w:val="005D4A8C"/>
    <w:rsid w:val="005D5159"/>
    <w:rsid w:val="005E03CD"/>
    <w:rsid w:val="00612DC5"/>
    <w:rsid w:val="0063020A"/>
    <w:rsid w:val="00636675"/>
    <w:rsid w:val="00644DC6"/>
    <w:rsid w:val="00646F15"/>
    <w:rsid w:val="00656606"/>
    <w:rsid w:val="00685206"/>
    <w:rsid w:val="00694DC1"/>
    <w:rsid w:val="006A54BB"/>
    <w:rsid w:val="006F11FF"/>
    <w:rsid w:val="006F64A9"/>
    <w:rsid w:val="007025E1"/>
    <w:rsid w:val="00713794"/>
    <w:rsid w:val="00720AB6"/>
    <w:rsid w:val="00726DF7"/>
    <w:rsid w:val="00744E0F"/>
    <w:rsid w:val="007561C8"/>
    <w:rsid w:val="00771299"/>
    <w:rsid w:val="007B0147"/>
    <w:rsid w:val="007B0EFF"/>
    <w:rsid w:val="007C227C"/>
    <w:rsid w:val="007C3545"/>
    <w:rsid w:val="007E0DE4"/>
    <w:rsid w:val="007E66F2"/>
    <w:rsid w:val="00865275"/>
    <w:rsid w:val="008675BC"/>
    <w:rsid w:val="00884D0B"/>
    <w:rsid w:val="008A1D43"/>
    <w:rsid w:val="008B3591"/>
    <w:rsid w:val="00901EE7"/>
    <w:rsid w:val="00937ED3"/>
    <w:rsid w:val="00950AE0"/>
    <w:rsid w:val="0095134A"/>
    <w:rsid w:val="00952A24"/>
    <w:rsid w:val="00953532"/>
    <w:rsid w:val="00967828"/>
    <w:rsid w:val="0097742C"/>
    <w:rsid w:val="0099669B"/>
    <w:rsid w:val="009B1C57"/>
    <w:rsid w:val="009C50D2"/>
    <w:rsid w:val="009C6269"/>
    <w:rsid w:val="009D1B24"/>
    <w:rsid w:val="009E2757"/>
    <w:rsid w:val="009F571B"/>
    <w:rsid w:val="00A0699C"/>
    <w:rsid w:val="00A14BB0"/>
    <w:rsid w:val="00A34CE9"/>
    <w:rsid w:val="00A37C75"/>
    <w:rsid w:val="00A50114"/>
    <w:rsid w:val="00A61A97"/>
    <w:rsid w:val="00A96189"/>
    <w:rsid w:val="00AC2F96"/>
    <w:rsid w:val="00AD4E8C"/>
    <w:rsid w:val="00AE14EB"/>
    <w:rsid w:val="00AE69EF"/>
    <w:rsid w:val="00B1665F"/>
    <w:rsid w:val="00B176D7"/>
    <w:rsid w:val="00B45537"/>
    <w:rsid w:val="00B5175A"/>
    <w:rsid w:val="00B6415E"/>
    <w:rsid w:val="00B97A6B"/>
    <w:rsid w:val="00BA4BF2"/>
    <w:rsid w:val="00BB3F7E"/>
    <w:rsid w:val="00BB69E0"/>
    <w:rsid w:val="00BD6FAC"/>
    <w:rsid w:val="00BD757A"/>
    <w:rsid w:val="00BF4D89"/>
    <w:rsid w:val="00C2784C"/>
    <w:rsid w:val="00C34AB9"/>
    <w:rsid w:val="00C36811"/>
    <w:rsid w:val="00C65EBA"/>
    <w:rsid w:val="00C97CF9"/>
    <w:rsid w:val="00CA4987"/>
    <w:rsid w:val="00CA4CE0"/>
    <w:rsid w:val="00CD393F"/>
    <w:rsid w:val="00CF50FD"/>
    <w:rsid w:val="00D111CC"/>
    <w:rsid w:val="00D173AD"/>
    <w:rsid w:val="00D20433"/>
    <w:rsid w:val="00D36599"/>
    <w:rsid w:val="00D424BA"/>
    <w:rsid w:val="00D54E64"/>
    <w:rsid w:val="00D72F7E"/>
    <w:rsid w:val="00D74EBE"/>
    <w:rsid w:val="00D85425"/>
    <w:rsid w:val="00D85F74"/>
    <w:rsid w:val="00DA435D"/>
    <w:rsid w:val="00DC59BD"/>
    <w:rsid w:val="00DC6717"/>
    <w:rsid w:val="00DD1BAF"/>
    <w:rsid w:val="00DF29C3"/>
    <w:rsid w:val="00E01264"/>
    <w:rsid w:val="00E52E27"/>
    <w:rsid w:val="00E603BC"/>
    <w:rsid w:val="00E87598"/>
    <w:rsid w:val="00EB191F"/>
    <w:rsid w:val="00EC2BCA"/>
    <w:rsid w:val="00EE0594"/>
    <w:rsid w:val="00EE3744"/>
    <w:rsid w:val="00EE4E79"/>
    <w:rsid w:val="00EF1E02"/>
    <w:rsid w:val="00EF3696"/>
    <w:rsid w:val="00F12405"/>
    <w:rsid w:val="00F631E6"/>
    <w:rsid w:val="00F75AFF"/>
    <w:rsid w:val="00F7743D"/>
    <w:rsid w:val="00F940FD"/>
    <w:rsid w:val="00FB5926"/>
    <w:rsid w:val="00FB5CA2"/>
    <w:rsid w:val="00FC410A"/>
    <w:rsid w:val="00FF0E74"/>
    <w:rsid w:val="00FF253C"/>
    <w:rsid w:val="00FF4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EF8B"/>
  <w15:chartTrackingRefBased/>
  <w15:docId w15:val="{D5C16289-6CCF-40D0-B7E1-F5152F61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0EFF"/>
    <w:pPr>
      <w:tabs>
        <w:tab w:val="center" w:pos="4536"/>
        <w:tab w:val="right" w:pos="9072"/>
      </w:tabs>
      <w:spacing w:after="0" w:line="240" w:lineRule="auto"/>
    </w:pPr>
  </w:style>
  <w:style w:type="character" w:customStyle="1" w:styleId="En-tteCar">
    <w:name w:val="En-tête Car"/>
    <w:basedOn w:val="Policepardfaut"/>
    <w:link w:val="En-tte"/>
    <w:uiPriority w:val="99"/>
    <w:rsid w:val="007B0EFF"/>
  </w:style>
  <w:style w:type="paragraph" w:styleId="Pieddepage">
    <w:name w:val="footer"/>
    <w:basedOn w:val="Normal"/>
    <w:link w:val="PieddepageCar"/>
    <w:uiPriority w:val="99"/>
    <w:unhideWhenUsed/>
    <w:rsid w:val="007B0E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0EFF"/>
  </w:style>
  <w:style w:type="paragraph" w:styleId="Notedebasdepage">
    <w:name w:val="footnote text"/>
    <w:basedOn w:val="Normal"/>
    <w:link w:val="NotedebasdepageCar"/>
    <w:uiPriority w:val="99"/>
    <w:semiHidden/>
    <w:unhideWhenUsed/>
    <w:rsid w:val="005D4A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4A8C"/>
    <w:rPr>
      <w:sz w:val="20"/>
      <w:szCs w:val="20"/>
    </w:rPr>
  </w:style>
  <w:style w:type="character" w:styleId="Appelnotedebasdep">
    <w:name w:val="footnote reference"/>
    <w:basedOn w:val="Policepardfaut"/>
    <w:uiPriority w:val="99"/>
    <w:semiHidden/>
    <w:unhideWhenUsed/>
    <w:rsid w:val="005D4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B520-9CE9-41A0-9CF7-AAC4E557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7</Pages>
  <Words>2494</Words>
  <Characters>13721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et Pierre DARDOT</dc:creator>
  <cp:keywords/>
  <dc:description/>
  <cp:lastModifiedBy>Anne et Pierre DARDOT</cp:lastModifiedBy>
  <cp:revision>4</cp:revision>
  <cp:lastPrinted>2023-04-21T13:44:00Z</cp:lastPrinted>
  <dcterms:created xsi:type="dcterms:W3CDTF">2023-01-23T09:07:00Z</dcterms:created>
  <dcterms:modified xsi:type="dcterms:W3CDTF">2023-04-23T08:44:00Z</dcterms:modified>
</cp:coreProperties>
</file>