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C0" w:rsidRDefault="00996FA6" w:rsidP="00996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L’impôt comme « contribution commune »</w:t>
      </w:r>
    </w:p>
    <w:p w:rsidR="0041781F" w:rsidRDefault="0041781F" w:rsidP="00996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C6" w:rsidRDefault="00996FA6" w:rsidP="00996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L’impôt n’est juste que si le peuple lui donne son consentement. La th</w:t>
      </w:r>
      <w:r w:rsidR="002E0CD5">
        <w:rPr>
          <w:rFonts w:ascii="Times New Roman" w:hAnsi="Times New Roman" w:cs="Times New Roman"/>
          <w:sz w:val="24"/>
          <w:szCs w:val="24"/>
        </w:rPr>
        <w:t xml:space="preserve">èse est </w:t>
      </w:r>
      <w:r w:rsidR="00B47141">
        <w:rPr>
          <w:rFonts w:ascii="Times New Roman" w:hAnsi="Times New Roman" w:cs="Times New Roman"/>
          <w:sz w:val="24"/>
          <w:szCs w:val="24"/>
        </w:rPr>
        <w:t>énoncée</w:t>
      </w:r>
      <w:r w:rsidR="009E6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Jean Bodin dans la préface de </w:t>
      </w:r>
      <w:r w:rsidRPr="009E6C49">
        <w:rPr>
          <w:rFonts w:ascii="Times New Roman" w:hAnsi="Times New Roman" w:cs="Times New Roman"/>
          <w:i/>
          <w:sz w:val="24"/>
          <w:szCs w:val="24"/>
        </w:rPr>
        <w:t>La République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7141">
        <w:rPr>
          <w:rFonts w:ascii="Times New Roman" w:hAnsi="Times New Roman" w:cs="Times New Roman"/>
          <w:sz w:val="24"/>
          <w:szCs w:val="24"/>
        </w:rPr>
        <w:t>(1577)</w:t>
      </w:r>
      <w:r>
        <w:rPr>
          <w:rFonts w:ascii="Times New Roman" w:hAnsi="Times New Roman" w:cs="Times New Roman"/>
          <w:sz w:val="24"/>
          <w:szCs w:val="24"/>
        </w:rPr>
        <w:t>: « </w:t>
      </w:r>
      <w:r w:rsidR="009E6C4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les princes ne peuvent lever tribut sans le </w:t>
      </w:r>
      <w:r w:rsidR="009E6C49">
        <w:rPr>
          <w:rFonts w:ascii="Times New Roman" w:hAnsi="Times New Roman" w:cs="Times New Roman"/>
          <w:sz w:val="24"/>
          <w:szCs w:val="24"/>
        </w:rPr>
        <w:t>consentement</w:t>
      </w:r>
      <w:r>
        <w:rPr>
          <w:rFonts w:ascii="Times New Roman" w:hAnsi="Times New Roman" w:cs="Times New Roman"/>
          <w:sz w:val="24"/>
          <w:szCs w:val="24"/>
        </w:rPr>
        <w:t xml:space="preserve"> de leurs sujets</w:t>
      </w:r>
      <w:r w:rsidR="009E6C49">
        <w:rPr>
          <w:rFonts w:ascii="Times New Roman" w:hAnsi="Times New Roman" w:cs="Times New Roman"/>
          <w:sz w:val="24"/>
          <w:szCs w:val="24"/>
        </w:rPr>
        <w:t>… »</w:t>
      </w:r>
      <w:r w:rsidR="009E6C49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1962D6">
        <w:rPr>
          <w:rFonts w:ascii="Times New Roman" w:hAnsi="Times New Roman" w:cs="Times New Roman"/>
          <w:sz w:val="24"/>
          <w:szCs w:val="24"/>
        </w:rPr>
        <w:t xml:space="preserve"> Le </w:t>
      </w:r>
      <w:r w:rsidR="009E6C49">
        <w:rPr>
          <w:rFonts w:ascii="Times New Roman" w:hAnsi="Times New Roman" w:cs="Times New Roman"/>
          <w:sz w:val="24"/>
          <w:szCs w:val="24"/>
        </w:rPr>
        <w:t>consentement permet</w:t>
      </w:r>
      <w:r w:rsidR="004E016D">
        <w:rPr>
          <w:rFonts w:ascii="Times New Roman" w:hAnsi="Times New Roman" w:cs="Times New Roman"/>
          <w:sz w:val="24"/>
          <w:szCs w:val="24"/>
        </w:rPr>
        <w:t xml:space="preserve"> ainsi de différencier un pouvoir absolu mais non arbitraire d’un pouvoir arbitraire qui lève l’impôt selon son bon plaisir sans égard à la propriété de ses sujets. </w:t>
      </w:r>
      <w:r w:rsidR="00A66513">
        <w:rPr>
          <w:rFonts w:ascii="Times New Roman" w:hAnsi="Times New Roman" w:cs="Times New Roman"/>
          <w:sz w:val="24"/>
          <w:szCs w:val="24"/>
        </w:rPr>
        <w:t>La distinction entre pouvoir absolu et pouvoir arb</w:t>
      </w:r>
      <w:r w:rsidR="00B47141">
        <w:rPr>
          <w:rFonts w:ascii="Times New Roman" w:hAnsi="Times New Roman" w:cs="Times New Roman"/>
          <w:sz w:val="24"/>
          <w:szCs w:val="24"/>
        </w:rPr>
        <w:t>itraire est reprise</w:t>
      </w:r>
      <w:r w:rsidR="00A66513">
        <w:rPr>
          <w:rFonts w:ascii="Times New Roman" w:hAnsi="Times New Roman" w:cs="Times New Roman"/>
          <w:sz w:val="24"/>
          <w:szCs w:val="24"/>
        </w:rPr>
        <w:t xml:space="preserve"> par John Locke dans son </w:t>
      </w:r>
      <w:r w:rsidR="00A66513" w:rsidRPr="00DC4D7E">
        <w:rPr>
          <w:rFonts w:ascii="Times New Roman" w:hAnsi="Times New Roman" w:cs="Times New Roman"/>
          <w:i/>
          <w:sz w:val="24"/>
          <w:szCs w:val="24"/>
        </w:rPr>
        <w:t>second traité du gouvernement</w:t>
      </w:r>
      <w:r w:rsidR="00A66513">
        <w:rPr>
          <w:rFonts w:ascii="Times New Roman" w:hAnsi="Times New Roman" w:cs="Times New Roman"/>
          <w:sz w:val="24"/>
          <w:szCs w:val="24"/>
        </w:rPr>
        <w:t> </w:t>
      </w:r>
      <w:r w:rsidR="00B47141">
        <w:rPr>
          <w:rFonts w:ascii="Times New Roman" w:hAnsi="Times New Roman" w:cs="Times New Roman"/>
          <w:sz w:val="24"/>
          <w:szCs w:val="24"/>
        </w:rPr>
        <w:t>(1689)</w:t>
      </w:r>
      <w:r w:rsidR="00A66513">
        <w:rPr>
          <w:rFonts w:ascii="Times New Roman" w:hAnsi="Times New Roman" w:cs="Times New Roman"/>
          <w:sz w:val="24"/>
          <w:szCs w:val="24"/>
        </w:rPr>
        <w:t>: « …le pouvoir suprême ne peut enlever à aucun homme aucune partie de sa propriété sans son consentement</w:t>
      </w:r>
      <w:r w:rsidR="00DC4D7E">
        <w:rPr>
          <w:rFonts w:ascii="Times New Roman" w:hAnsi="Times New Roman" w:cs="Times New Roman"/>
          <w:sz w:val="24"/>
          <w:szCs w:val="24"/>
        </w:rPr>
        <w:t xml:space="preserve"> », d’où il suit que « si quelqu’un revendique le droit </w:t>
      </w:r>
      <w:r w:rsidR="00DC4D7E" w:rsidRPr="00DC4D7E">
        <w:rPr>
          <w:rFonts w:ascii="Times New Roman" w:hAnsi="Times New Roman" w:cs="Times New Roman"/>
          <w:i/>
          <w:sz w:val="24"/>
          <w:szCs w:val="24"/>
        </w:rPr>
        <w:t>d’imposer des taxes</w:t>
      </w:r>
      <w:r w:rsidR="00DC4D7E">
        <w:rPr>
          <w:rFonts w:ascii="Times New Roman" w:hAnsi="Times New Roman" w:cs="Times New Roman"/>
          <w:sz w:val="24"/>
          <w:szCs w:val="24"/>
        </w:rPr>
        <w:t xml:space="preserve"> sur le peuple et de les percevoir de sa propre autorité et sans le consentement du peuple, il viole </w:t>
      </w:r>
      <w:r w:rsidR="00DC4D7E" w:rsidRPr="00DC4D7E">
        <w:rPr>
          <w:rFonts w:ascii="Times New Roman" w:hAnsi="Times New Roman" w:cs="Times New Roman"/>
          <w:i/>
          <w:sz w:val="24"/>
          <w:szCs w:val="24"/>
        </w:rPr>
        <w:t>la loi fondamentale de la propriété</w:t>
      </w:r>
      <w:r w:rsidR="00DC4D7E">
        <w:rPr>
          <w:rFonts w:ascii="Times New Roman" w:hAnsi="Times New Roman" w:cs="Times New Roman"/>
          <w:sz w:val="24"/>
          <w:szCs w:val="24"/>
        </w:rPr>
        <w:t xml:space="preserve"> et il subvertit la fin même du gouvernement.</w:t>
      </w:r>
      <w:r w:rsidR="00A66513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DC4D7E">
        <w:rPr>
          <w:rFonts w:ascii="Times New Roman" w:hAnsi="Times New Roman" w:cs="Times New Roman"/>
          <w:sz w:val="24"/>
          <w:szCs w:val="24"/>
        </w:rPr>
        <w:t> »</w:t>
      </w:r>
      <w:r w:rsidR="00E947B6">
        <w:rPr>
          <w:rFonts w:ascii="Times New Roman" w:hAnsi="Times New Roman" w:cs="Times New Roman"/>
          <w:sz w:val="24"/>
          <w:szCs w:val="24"/>
        </w:rPr>
        <w:t xml:space="preserve"> On a là la justification du grand principe </w:t>
      </w:r>
      <w:r w:rsidR="00165E15">
        <w:rPr>
          <w:rFonts w:ascii="Times New Roman" w:hAnsi="Times New Roman" w:cs="Times New Roman"/>
          <w:sz w:val="24"/>
          <w:szCs w:val="24"/>
        </w:rPr>
        <w:t xml:space="preserve">coutumier </w:t>
      </w:r>
      <w:r w:rsidR="00E947B6" w:rsidRPr="00E947B6">
        <w:rPr>
          <w:rFonts w:ascii="Times New Roman" w:hAnsi="Times New Roman" w:cs="Times New Roman"/>
          <w:i/>
          <w:sz w:val="24"/>
          <w:szCs w:val="24"/>
        </w:rPr>
        <w:t>No taxation without consent</w:t>
      </w:r>
      <w:r w:rsidR="00E947B6">
        <w:rPr>
          <w:rFonts w:ascii="Times New Roman" w:hAnsi="Times New Roman" w:cs="Times New Roman"/>
          <w:sz w:val="24"/>
          <w:szCs w:val="24"/>
        </w:rPr>
        <w:t xml:space="preserve">. C’est </w:t>
      </w:r>
      <w:r w:rsidR="00165E15">
        <w:rPr>
          <w:rFonts w:ascii="Times New Roman" w:hAnsi="Times New Roman" w:cs="Times New Roman"/>
          <w:sz w:val="24"/>
          <w:szCs w:val="24"/>
        </w:rPr>
        <w:t>en invoquant ce même principe que les colons américains s’insu</w:t>
      </w:r>
      <w:r w:rsidR="00A64524">
        <w:rPr>
          <w:rFonts w:ascii="Times New Roman" w:hAnsi="Times New Roman" w:cs="Times New Roman"/>
          <w:sz w:val="24"/>
          <w:szCs w:val="24"/>
        </w:rPr>
        <w:t>rgeront contre l’impôt du</w:t>
      </w:r>
      <w:r w:rsidR="00165E15">
        <w:rPr>
          <w:rFonts w:ascii="Times New Roman" w:hAnsi="Times New Roman" w:cs="Times New Roman"/>
          <w:sz w:val="24"/>
          <w:szCs w:val="24"/>
        </w:rPr>
        <w:t xml:space="preserve"> </w:t>
      </w:r>
      <w:r w:rsidR="00165E15" w:rsidRPr="00165E15">
        <w:rPr>
          <w:rFonts w:ascii="Times New Roman" w:hAnsi="Times New Roman" w:cs="Times New Roman"/>
          <w:i/>
          <w:sz w:val="24"/>
          <w:szCs w:val="24"/>
        </w:rPr>
        <w:t>Stamp Act</w:t>
      </w:r>
      <w:r w:rsidR="00165E15">
        <w:rPr>
          <w:rFonts w:ascii="Times New Roman" w:hAnsi="Times New Roman" w:cs="Times New Roman"/>
          <w:sz w:val="24"/>
          <w:szCs w:val="24"/>
        </w:rPr>
        <w:t xml:space="preserve">  voté par la Chambre des Communes sans leur consentement : ce der</w:t>
      </w:r>
      <w:r w:rsidR="00B47141">
        <w:rPr>
          <w:rFonts w:ascii="Times New Roman" w:hAnsi="Times New Roman" w:cs="Times New Roman"/>
          <w:sz w:val="24"/>
          <w:szCs w:val="24"/>
        </w:rPr>
        <w:t>nier doit s’entendre</w:t>
      </w:r>
      <w:r w:rsidR="00165E15">
        <w:rPr>
          <w:rFonts w:ascii="Times New Roman" w:hAnsi="Times New Roman" w:cs="Times New Roman"/>
          <w:sz w:val="24"/>
          <w:szCs w:val="24"/>
        </w:rPr>
        <w:t xml:space="preserve"> au sens d</w:t>
      </w:r>
      <w:r w:rsidR="00A64524">
        <w:rPr>
          <w:rFonts w:ascii="Times New Roman" w:hAnsi="Times New Roman" w:cs="Times New Roman"/>
          <w:sz w:val="24"/>
          <w:szCs w:val="24"/>
        </w:rPr>
        <w:t xml:space="preserve">u consentement donné </w:t>
      </w:r>
      <w:r w:rsidR="00A44839">
        <w:rPr>
          <w:rFonts w:ascii="Times New Roman" w:hAnsi="Times New Roman" w:cs="Times New Roman"/>
          <w:sz w:val="24"/>
          <w:szCs w:val="24"/>
        </w:rPr>
        <w:t>par la</w:t>
      </w:r>
      <w:r w:rsidR="00165E15">
        <w:rPr>
          <w:rFonts w:ascii="Times New Roman" w:hAnsi="Times New Roman" w:cs="Times New Roman"/>
          <w:sz w:val="24"/>
          <w:szCs w:val="24"/>
        </w:rPr>
        <w:t xml:space="preserve"> </w:t>
      </w:r>
      <w:r w:rsidR="00165E15" w:rsidRPr="00A44839">
        <w:rPr>
          <w:rFonts w:ascii="Times New Roman" w:hAnsi="Times New Roman" w:cs="Times New Roman"/>
          <w:i/>
          <w:sz w:val="24"/>
          <w:szCs w:val="24"/>
        </w:rPr>
        <w:t>representation</w:t>
      </w:r>
      <w:r w:rsidR="00A44839">
        <w:rPr>
          <w:rFonts w:ascii="Times New Roman" w:hAnsi="Times New Roman" w:cs="Times New Roman"/>
          <w:sz w:val="24"/>
          <w:szCs w:val="24"/>
        </w:rPr>
        <w:t xml:space="preserve"> du p</w:t>
      </w:r>
      <w:r w:rsidR="003C5FC6">
        <w:rPr>
          <w:rFonts w:ascii="Times New Roman" w:hAnsi="Times New Roman" w:cs="Times New Roman"/>
          <w:sz w:val="24"/>
          <w:szCs w:val="24"/>
        </w:rPr>
        <w:t>euple.</w:t>
      </w:r>
    </w:p>
    <w:p w:rsidR="009E6C49" w:rsidRPr="003C5FC6" w:rsidRDefault="008C693E" w:rsidP="00996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Quel impôt ?</w:t>
      </w:r>
    </w:p>
    <w:p w:rsidR="00E947B6" w:rsidRPr="00E947B6" w:rsidRDefault="00E947B6" w:rsidP="00996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autre question émerge au XVIIIe sc., celle de la relation que les différents types d’impôt entretiennent avec la liberté des peuples.</w:t>
      </w:r>
      <w:r w:rsidR="00A44839">
        <w:rPr>
          <w:rFonts w:ascii="Times New Roman" w:hAnsi="Times New Roman" w:cs="Times New Roman"/>
          <w:sz w:val="24"/>
          <w:szCs w:val="24"/>
        </w:rPr>
        <w:t xml:space="preserve"> </w:t>
      </w:r>
      <w:r w:rsidR="003C5FC6">
        <w:rPr>
          <w:rFonts w:ascii="Times New Roman" w:hAnsi="Times New Roman" w:cs="Times New Roman"/>
          <w:sz w:val="24"/>
          <w:szCs w:val="24"/>
        </w:rPr>
        <w:t xml:space="preserve">Dans </w:t>
      </w:r>
      <w:r w:rsidR="003C5FC6" w:rsidRPr="003C5FC6">
        <w:rPr>
          <w:rFonts w:ascii="Times New Roman" w:hAnsi="Times New Roman" w:cs="Times New Roman"/>
          <w:i/>
          <w:sz w:val="24"/>
          <w:szCs w:val="24"/>
        </w:rPr>
        <w:t>D</w:t>
      </w:r>
      <w:r w:rsidR="00E64B6B" w:rsidRPr="003C5FC6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E64B6B" w:rsidRPr="00E64B6B">
        <w:rPr>
          <w:rFonts w:ascii="Times New Roman" w:hAnsi="Times New Roman" w:cs="Times New Roman"/>
          <w:i/>
          <w:sz w:val="24"/>
          <w:szCs w:val="24"/>
        </w:rPr>
        <w:t>L’esprit des lois</w:t>
      </w:r>
      <w:r w:rsidR="003C5FC6">
        <w:rPr>
          <w:rFonts w:ascii="Times New Roman" w:hAnsi="Times New Roman" w:cs="Times New Roman"/>
          <w:sz w:val="24"/>
          <w:szCs w:val="24"/>
        </w:rPr>
        <w:t xml:space="preserve"> (1748), </w:t>
      </w:r>
      <w:r w:rsidR="00A44839">
        <w:rPr>
          <w:rFonts w:ascii="Times New Roman" w:hAnsi="Times New Roman" w:cs="Times New Roman"/>
          <w:sz w:val="24"/>
          <w:szCs w:val="24"/>
        </w:rPr>
        <w:t xml:space="preserve">Montesquieu </w:t>
      </w:r>
      <w:r w:rsidR="00A75DF2">
        <w:rPr>
          <w:rFonts w:ascii="Times New Roman" w:hAnsi="Times New Roman" w:cs="Times New Roman"/>
          <w:sz w:val="24"/>
          <w:szCs w:val="24"/>
        </w:rPr>
        <w:t>affirme</w:t>
      </w:r>
      <w:r w:rsidR="008C693E">
        <w:rPr>
          <w:rFonts w:ascii="Times New Roman" w:hAnsi="Times New Roman" w:cs="Times New Roman"/>
          <w:sz w:val="24"/>
          <w:szCs w:val="24"/>
        </w:rPr>
        <w:t> :</w:t>
      </w:r>
      <w:r w:rsidR="00E64B6B">
        <w:rPr>
          <w:rFonts w:ascii="Times New Roman" w:hAnsi="Times New Roman" w:cs="Times New Roman"/>
          <w:sz w:val="24"/>
          <w:szCs w:val="24"/>
        </w:rPr>
        <w:t xml:space="preserve"> </w:t>
      </w:r>
      <w:r w:rsidR="00E815D7">
        <w:rPr>
          <w:rFonts w:ascii="Times New Roman" w:hAnsi="Times New Roman" w:cs="Times New Roman"/>
          <w:sz w:val="24"/>
          <w:szCs w:val="24"/>
        </w:rPr>
        <w:t xml:space="preserve">« L’impôt par tête est plus naturel à la servitude » tandis que « l’impôt sur les marchandises est plus naturel à la liberté parce qu’il se rapporte de manière moins directe à la personne </w:t>
      </w:r>
      <w:r w:rsidR="00E815D7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E815D7">
        <w:rPr>
          <w:rFonts w:ascii="Times New Roman" w:hAnsi="Times New Roman" w:cs="Times New Roman"/>
          <w:sz w:val="24"/>
          <w:szCs w:val="24"/>
        </w:rPr>
        <w:t>».</w:t>
      </w:r>
      <w:r w:rsidR="00E76EF6">
        <w:rPr>
          <w:rFonts w:ascii="Times New Roman" w:hAnsi="Times New Roman" w:cs="Times New Roman"/>
          <w:sz w:val="24"/>
          <w:szCs w:val="24"/>
        </w:rPr>
        <w:t xml:space="preserve"> Cette opinion sera reprise par le chevalier de Jaucourt dans l’article « Impôt » de l’</w:t>
      </w:r>
      <w:r w:rsidR="00E76EF6" w:rsidRPr="000E51DC">
        <w:rPr>
          <w:rFonts w:ascii="Times New Roman" w:hAnsi="Times New Roman" w:cs="Times New Roman"/>
          <w:i/>
          <w:sz w:val="24"/>
          <w:szCs w:val="24"/>
        </w:rPr>
        <w:t>Encyclopédie</w:t>
      </w:r>
      <w:r w:rsidR="003C5FC6">
        <w:rPr>
          <w:rFonts w:ascii="Times New Roman" w:hAnsi="Times New Roman" w:cs="Times New Roman"/>
          <w:sz w:val="24"/>
          <w:szCs w:val="24"/>
        </w:rPr>
        <w:t xml:space="preserve"> (176</w:t>
      </w:r>
      <w:r w:rsidR="00A75DF2">
        <w:rPr>
          <w:rFonts w:ascii="Times New Roman" w:hAnsi="Times New Roman" w:cs="Times New Roman"/>
          <w:sz w:val="24"/>
          <w:szCs w:val="24"/>
        </w:rPr>
        <w:t>6</w:t>
      </w:r>
      <w:r w:rsidR="008549CB">
        <w:rPr>
          <w:rFonts w:ascii="Times New Roman" w:hAnsi="Times New Roman" w:cs="Times New Roman"/>
          <w:sz w:val="24"/>
          <w:szCs w:val="24"/>
        </w:rPr>
        <w:t xml:space="preserve">) : les impôts </w:t>
      </w:r>
      <w:r w:rsidR="003C5FC6">
        <w:rPr>
          <w:rFonts w:ascii="Times New Roman" w:hAnsi="Times New Roman" w:cs="Times New Roman"/>
          <w:sz w:val="24"/>
          <w:szCs w:val="24"/>
        </w:rPr>
        <w:t xml:space="preserve"> </w:t>
      </w:r>
      <w:r w:rsidR="008549CB">
        <w:rPr>
          <w:rFonts w:ascii="Times New Roman" w:hAnsi="Times New Roman" w:cs="Times New Roman"/>
          <w:sz w:val="24"/>
          <w:szCs w:val="24"/>
        </w:rPr>
        <w:t xml:space="preserve">sur les denrées et marchandises </w:t>
      </w:r>
      <w:r w:rsidR="002433A0">
        <w:rPr>
          <w:rFonts w:ascii="Times New Roman" w:hAnsi="Times New Roman" w:cs="Times New Roman"/>
          <w:sz w:val="24"/>
          <w:szCs w:val="24"/>
        </w:rPr>
        <w:t>« </w:t>
      </w:r>
      <w:r w:rsidR="008549CB">
        <w:rPr>
          <w:rFonts w:ascii="Times New Roman" w:hAnsi="Times New Roman" w:cs="Times New Roman"/>
          <w:sz w:val="24"/>
          <w:szCs w:val="24"/>
        </w:rPr>
        <w:t>sont les moins onéreux au peuple</w:t>
      </w:r>
      <w:r w:rsidR="002433A0">
        <w:rPr>
          <w:rFonts w:ascii="Times New Roman" w:hAnsi="Times New Roman" w:cs="Times New Roman"/>
          <w:sz w:val="24"/>
          <w:szCs w:val="24"/>
        </w:rPr>
        <w:t> »</w:t>
      </w:r>
      <w:r w:rsidR="008549CB">
        <w:rPr>
          <w:rFonts w:ascii="Times New Roman" w:hAnsi="Times New Roman" w:cs="Times New Roman"/>
          <w:sz w:val="24"/>
          <w:szCs w:val="24"/>
        </w:rPr>
        <w:t xml:space="preserve"> </w:t>
      </w:r>
      <w:r w:rsidR="002433A0">
        <w:rPr>
          <w:rFonts w:ascii="Times New Roman" w:hAnsi="Times New Roman" w:cs="Times New Roman"/>
          <w:sz w:val="24"/>
          <w:szCs w:val="24"/>
        </w:rPr>
        <w:t>« </w:t>
      </w:r>
      <w:r w:rsidR="008549CB">
        <w:rPr>
          <w:rFonts w:ascii="Times New Roman" w:hAnsi="Times New Roman" w:cs="Times New Roman"/>
          <w:sz w:val="24"/>
          <w:szCs w:val="24"/>
        </w:rPr>
        <w:t>parce qu’ils sont payés imperceptiblement et journellement </w:t>
      </w:r>
      <w:r w:rsidR="002433A0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8549CB">
        <w:rPr>
          <w:rFonts w:ascii="Times New Roman" w:hAnsi="Times New Roman" w:cs="Times New Roman"/>
          <w:sz w:val="24"/>
          <w:szCs w:val="24"/>
        </w:rPr>
        <w:t xml:space="preserve">». </w:t>
      </w:r>
      <w:r w:rsidR="00A75DF2">
        <w:rPr>
          <w:rFonts w:ascii="Times New Roman" w:hAnsi="Times New Roman" w:cs="Times New Roman"/>
          <w:sz w:val="24"/>
          <w:szCs w:val="24"/>
        </w:rPr>
        <w:t xml:space="preserve">C’est </w:t>
      </w:r>
      <w:r w:rsidR="00082356">
        <w:rPr>
          <w:rFonts w:ascii="Times New Roman" w:hAnsi="Times New Roman" w:cs="Times New Roman"/>
          <w:sz w:val="24"/>
          <w:szCs w:val="24"/>
        </w:rPr>
        <w:t xml:space="preserve">en revanche </w:t>
      </w:r>
      <w:r w:rsidR="00A75DF2">
        <w:rPr>
          <w:rFonts w:ascii="Times New Roman" w:hAnsi="Times New Roman" w:cs="Times New Roman"/>
          <w:sz w:val="24"/>
          <w:szCs w:val="24"/>
        </w:rPr>
        <w:t>contre une telle position que</w:t>
      </w:r>
      <w:r w:rsidR="003C5FC6">
        <w:rPr>
          <w:rFonts w:ascii="Times New Roman" w:hAnsi="Times New Roman" w:cs="Times New Roman"/>
          <w:sz w:val="24"/>
          <w:szCs w:val="24"/>
        </w:rPr>
        <w:t xml:space="preserve"> Rousseau s’élève dans l’article « Economie politique » de l’Encyclopédie (1755). </w:t>
      </w:r>
      <w:r w:rsidR="00CF3EFD">
        <w:rPr>
          <w:rFonts w:ascii="Times New Roman" w:hAnsi="Times New Roman" w:cs="Times New Roman"/>
          <w:sz w:val="24"/>
          <w:szCs w:val="24"/>
        </w:rPr>
        <w:t>D</w:t>
      </w:r>
      <w:r w:rsidR="008C693E">
        <w:rPr>
          <w:rFonts w:ascii="Times New Roman" w:hAnsi="Times New Roman" w:cs="Times New Roman"/>
          <w:sz w:val="24"/>
          <w:szCs w:val="24"/>
        </w:rPr>
        <w:t>istingu</w:t>
      </w:r>
      <w:r w:rsidR="00CF3EFD">
        <w:rPr>
          <w:rFonts w:ascii="Times New Roman" w:hAnsi="Times New Roman" w:cs="Times New Roman"/>
          <w:sz w:val="24"/>
          <w:szCs w:val="24"/>
        </w:rPr>
        <w:t>ant</w:t>
      </w:r>
      <w:r w:rsidR="008C693E">
        <w:rPr>
          <w:rFonts w:ascii="Times New Roman" w:hAnsi="Times New Roman" w:cs="Times New Roman"/>
          <w:sz w:val="24"/>
          <w:szCs w:val="24"/>
        </w:rPr>
        <w:t xml:space="preserve"> deux sortes de contributions, </w:t>
      </w:r>
      <w:r w:rsidR="00CF3EFD">
        <w:rPr>
          <w:rFonts w:ascii="Times New Roman" w:hAnsi="Times New Roman" w:cs="Times New Roman"/>
          <w:sz w:val="24"/>
          <w:szCs w:val="24"/>
        </w:rPr>
        <w:t>« </w:t>
      </w:r>
      <w:r w:rsidR="008C693E">
        <w:rPr>
          <w:rFonts w:ascii="Times New Roman" w:hAnsi="Times New Roman" w:cs="Times New Roman"/>
          <w:sz w:val="24"/>
          <w:szCs w:val="24"/>
        </w:rPr>
        <w:t>les unes réelles qui se perçoivent sur les choses, les autres</w:t>
      </w:r>
      <w:r w:rsidR="00CF3EFD">
        <w:rPr>
          <w:rFonts w:ascii="Times New Roman" w:hAnsi="Times New Roman" w:cs="Times New Roman"/>
          <w:sz w:val="24"/>
          <w:szCs w:val="24"/>
        </w:rPr>
        <w:t xml:space="preserve"> personnelles, qui se payent par tête », il </w:t>
      </w:r>
      <w:r w:rsidR="00A75DF2">
        <w:rPr>
          <w:rFonts w:ascii="Times New Roman" w:hAnsi="Times New Roman" w:cs="Times New Roman"/>
          <w:sz w:val="24"/>
          <w:szCs w:val="24"/>
        </w:rPr>
        <w:t xml:space="preserve">soutient </w:t>
      </w:r>
      <w:r w:rsidR="008C693E">
        <w:rPr>
          <w:rFonts w:ascii="Times New Roman" w:hAnsi="Times New Roman" w:cs="Times New Roman"/>
          <w:sz w:val="24"/>
          <w:szCs w:val="24"/>
        </w:rPr>
        <w:t xml:space="preserve">que « la taxe par tête est exactement proportionnée aux moyens des particuliers » et qu’en ce sens </w:t>
      </w:r>
      <w:r w:rsidR="00CF3EFD">
        <w:rPr>
          <w:rFonts w:ascii="Times New Roman" w:hAnsi="Times New Roman" w:cs="Times New Roman"/>
          <w:sz w:val="24"/>
          <w:szCs w:val="24"/>
        </w:rPr>
        <w:lastRenderedPageBreak/>
        <w:t>« </w:t>
      </w:r>
      <w:r w:rsidR="008C693E">
        <w:rPr>
          <w:rFonts w:ascii="Times New Roman" w:hAnsi="Times New Roman" w:cs="Times New Roman"/>
          <w:sz w:val="24"/>
          <w:szCs w:val="24"/>
        </w:rPr>
        <w:t>elle est la plus équitable, et par conséquent la plus convenable à des hommes libres.</w:t>
      </w:r>
      <w:r w:rsidR="00CF3EFD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8C693E">
        <w:rPr>
          <w:rFonts w:ascii="Times New Roman" w:hAnsi="Times New Roman" w:cs="Times New Roman"/>
          <w:sz w:val="24"/>
          <w:szCs w:val="24"/>
        </w:rPr>
        <w:t> »</w:t>
      </w:r>
      <w:r w:rsidR="000E51DC">
        <w:rPr>
          <w:rFonts w:ascii="Times New Roman" w:hAnsi="Times New Roman" w:cs="Times New Roman"/>
          <w:sz w:val="24"/>
          <w:szCs w:val="24"/>
        </w:rPr>
        <w:t xml:space="preserve"> On le voit, dans</w:t>
      </w:r>
      <w:r w:rsidR="002433A0">
        <w:rPr>
          <w:rFonts w:ascii="Times New Roman" w:hAnsi="Times New Roman" w:cs="Times New Roman"/>
          <w:sz w:val="24"/>
          <w:szCs w:val="24"/>
        </w:rPr>
        <w:t xml:space="preserve"> cette controverse, </w:t>
      </w:r>
      <w:r w:rsidR="00CF3EFD">
        <w:rPr>
          <w:rFonts w:ascii="Times New Roman" w:hAnsi="Times New Roman" w:cs="Times New Roman"/>
          <w:sz w:val="24"/>
          <w:szCs w:val="24"/>
        </w:rPr>
        <w:t>la règle de la propor</w:t>
      </w:r>
      <w:r w:rsidR="00215C5A">
        <w:rPr>
          <w:rFonts w:ascii="Times New Roman" w:hAnsi="Times New Roman" w:cs="Times New Roman"/>
          <w:sz w:val="24"/>
          <w:szCs w:val="24"/>
        </w:rPr>
        <w:t xml:space="preserve">tionnalité </w:t>
      </w:r>
      <w:r w:rsidR="002433A0">
        <w:rPr>
          <w:rFonts w:ascii="Times New Roman" w:hAnsi="Times New Roman" w:cs="Times New Roman"/>
          <w:sz w:val="24"/>
          <w:szCs w:val="24"/>
        </w:rPr>
        <w:t xml:space="preserve">est présupposée </w:t>
      </w:r>
      <w:r w:rsidR="00215C5A">
        <w:rPr>
          <w:rFonts w:ascii="Times New Roman" w:hAnsi="Times New Roman" w:cs="Times New Roman"/>
          <w:sz w:val="24"/>
          <w:szCs w:val="24"/>
        </w:rPr>
        <w:t>comme règle de la justice distributive.</w:t>
      </w:r>
      <w:r w:rsidR="00BB298D">
        <w:rPr>
          <w:rFonts w:ascii="Times New Roman" w:hAnsi="Times New Roman" w:cs="Times New Roman"/>
          <w:sz w:val="24"/>
          <w:szCs w:val="24"/>
        </w:rPr>
        <w:t xml:space="preserve"> </w:t>
      </w:r>
      <w:r w:rsidR="002433A0">
        <w:rPr>
          <w:rFonts w:ascii="Times New Roman" w:hAnsi="Times New Roman" w:cs="Times New Roman"/>
          <w:sz w:val="24"/>
          <w:szCs w:val="24"/>
        </w:rPr>
        <w:t xml:space="preserve">Parlant de l’impôt sur la personne qui lui paraît </w:t>
      </w:r>
      <w:r w:rsidR="00C44B4C">
        <w:rPr>
          <w:rFonts w:ascii="Times New Roman" w:hAnsi="Times New Roman" w:cs="Times New Roman"/>
          <w:sz w:val="24"/>
          <w:szCs w:val="24"/>
        </w:rPr>
        <w:t xml:space="preserve">pourtant </w:t>
      </w:r>
      <w:r w:rsidR="002433A0">
        <w:rPr>
          <w:rFonts w:ascii="Times New Roman" w:hAnsi="Times New Roman" w:cs="Times New Roman"/>
          <w:sz w:val="24"/>
          <w:szCs w:val="24"/>
        </w:rPr>
        <w:t>arbitraire</w:t>
      </w:r>
      <w:r w:rsidR="00BB298D">
        <w:rPr>
          <w:rFonts w:ascii="Times New Roman" w:hAnsi="Times New Roman" w:cs="Times New Roman"/>
          <w:sz w:val="24"/>
          <w:szCs w:val="24"/>
        </w:rPr>
        <w:t xml:space="preserve">, </w:t>
      </w:r>
      <w:r w:rsidR="008549CB">
        <w:rPr>
          <w:rFonts w:ascii="Times New Roman" w:hAnsi="Times New Roman" w:cs="Times New Roman"/>
          <w:sz w:val="24"/>
          <w:szCs w:val="24"/>
        </w:rPr>
        <w:t>d</w:t>
      </w:r>
      <w:r w:rsidR="00BB298D">
        <w:rPr>
          <w:rFonts w:ascii="Times New Roman" w:hAnsi="Times New Roman" w:cs="Times New Roman"/>
          <w:sz w:val="24"/>
          <w:szCs w:val="24"/>
        </w:rPr>
        <w:t xml:space="preserve">e Jaucourt </w:t>
      </w:r>
      <w:r w:rsidR="00994D1F">
        <w:rPr>
          <w:rFonts w:ascii="Times New Roman" w:hAnsi="Times New Roman" w:cs="Times New Roman"/>
          <w:sz w:val="24"/>
          <w:szCs w:val="24"/>
        </w:rPr>
        <w:t xml:space="preserve">affirme que </w:t>
      </w:r>
      <w:r w:rsidR="002433A0">
        <w:rPr>
          <w:rFonts w:ascii="Times New Roman" w:hAnsi="Times New Roman" w:cs="Times New Roman"/>
          <w:sz w:val="24"/>
          <w:szCs w:val="24"/>
        </w:rPr>
        <w:t>l’inégalité des fortunes veut des impositions conformes à cette inégalité, c’est-à-dire en progression géométrique (2, 4, 8, 16…)</w:t>
      </w:r>
      <w:r w:rsidR="000E51DC">
        <w:rPr>
          <w:rFonts w:ascii="Times New Roman" w:hAnsi="Times New Roman" w:cs="Times New Roman"/>
          <w:sz w:val="24"/>
          <w:szCs w:val="24"/>
        </w:rPr>
        <w:t xml:space="preserve"> « sur les aisés »</w:t>
      </w:r>
      <w:r w:rsidR="00994D1F">
        <w:rPr>
          <w:rFonts w:ascii="Times New Roman" w:hAnsi="Times New Roman" w:cs="Times New Roman"/>
          <w:sz w:val="24"/>
          <w:szCs w:val="24"/>
        </w:rPr>
        <w:t xml:space="preserve">. </w:t>
      </w:r>
      <w:r w:rsidR="00215C5A">
        <w:rPr>
          <w:rFonts w:ascii="Times New Roman" w:hAnsi="Times New Roman" w:cs="Times New Roman"/>
          <w:sz w:val="24"/>
          <w:szCs w:val="24"/>
        </w:rPr>
        <w:t>Rappelons que</w:t>
      </w:r>
      <w:r w:rsidR="00994D1F">
        <w:rPr>
          <w:rFonts w:ascii="Times New Roman" w:hAnsi="Times New Roman" w:cs="Times New Roman"/>
          <w:sz w:val="24"/>
          <w:szCs w:val="24"/>
        </w:rPr>
        <w:t>,</w:t>
      </w:r>
      <w:r w:rsidR="00215C5A">
        <w:rPr>
          <w:rFonts w:ascii="Times New Roman" w:hAnsi="Times New Roman" w:cs="Times New Roman"/>
          <w:sz w:val="24"/>
          <w:szCs w:val="24"/>
        </w:rPr>
        <w:t xml:space="preserve"> selon Aristote</w:t>
      </w:r>
      <w:r w:rsidR="00994D1F">
        <w:rPr>
          <w:rFonts w:ascii="Times New Roman" w:hAnsi="Times New Roman" w:cs="Times New Roman"/>
          <w:sz w:val="24"/>
          <w:szCs w:val="24"/>
        </w:rPr>
        <w:t>,</w:t>
      </w:r>
      <w:r w:rsidR="00215C5A">
        <w:rPr>
          <w:rFonts w:ascii="Times New Roman" w:hAnsi="Times New Roman" w:cs="Times New Roman"/>
          <w:sz w:val="24"/>
          <w:szCs w:val="24"/>
        </w:rPr>
        <w:t xml:space="preserve"> l’égalité géométrique </w:t>
      </w:r>
      <w:r w:rsidR="00082356">
        <w:rPr>
          <w:rFonts w:ascii="Times New Roman" w:hAnsi="Times New Roman" w:cs="Times New Roman"/>
          <w:sz w:val="24"/>
          <w:szCs w:val="24"/>
        </w:rPr>
        <w:t xml:space="preserve">ou proportionnelle </w:t>
      </w:r>
      <w:r w:rsidR="00604F87">
        <w:rPr>
          <w:rFonts w:ascii="Times New Roman" w:hAnsi="Times New Roman" w:cs="Times New Roman"/>
          <w:sz w:val="24"/>
          <w:szCs w:val="24"/>
        </w:rPr>
        <w:t>est la règle de la justice distributive</w:t>
      </w:r>
      <w:r w:rsidR="00082356">
        <w:rPr>
          <w:rFonts w:ascii="Times New Roman" w:hAnsi="Times New Roman" w:cs="Times New Roman"/>
          <w:sz w:val="24"/>
          <w:szCs w:val="24"/>
        </w:rPr>
        <w:t xml:space="preserve"> qui préside </w:t>
      </w:r>
      <w:r w:rsidR="00BB298D">
        <w:rPr>
          <w:rFonts w:ascii="Times New Roman" w:hAnsi="Times New Roman" w:cs="Times New Roman"/>
          <w:sz w:val="24"/>
          <w:szCs w:val="24"/>
        </w:rPr>
        <w:t xml:space="preserve">à </w:t>
      </w:r>
      <w:r w:rsidR="00C44B4C">
        <w:rPr>
          <w:rFonts w:ascii="Times New Roman" w:hAnsi="Times New Roman" w:cs="Times New Roman"/>
          <w:sz w:val="24"/>
          <w:szCs w:val="24"/>
        </w:rPr>
        <w:t>la répartition des richesses ou d</w:t>
      </w:r>
      <w:r w:rsidR="00BB298D">
        <w:rPr>
          <w:rFonts w:ascii="Times New Roman" w:hAnsi="Times New Roman" w:cs="Times New Roman"/>
          <w:sz w:val="24"/>
          <w:szCs w:val="24"/>
        </w:rPr>
        <w:t>es honneurs entre les citoyens,</w:t>
      </w:r>
      <w:r w:rsidR="00604F87">
        <w:rPr>
          <w:rFonts w:ascii="Times New Roman" w:hAnsi="Times New Roman" w:cs="Times New Roman"/>
          <w:sz w:val="24"/>
          <w:szCs w:val="24"/>
        </w:rPr>
        <w:t xml:space="preserve"> alors que l’égalité arithmétique est celle de la justice commutative</w:t>
      </w:r>
      <w:r w:rsidR="00082356">
        <w:rPr>
          <w:rFonts w:ascii="Times New Roman" w:hAnsi="Times New Roman" w:cs="Times New Roman"/>
          <w:sz w:val="24"/>
          <w:szCs w:val="24"/>
        </w:rPr>
        <w:t xml:space="preserve"> qui préside aux relations privées entre particuliers (comme dans l’échange</w:t>
      </w:r>
      <w:r w:rsidR="00C44B4C">
        <w:rPr>
          <w:rFonts w:ascii="Times New Roman" w:hAnsi="Times New Roman" w:cs="Times New Roman"/>
          <w:sz w:val="24"/>
          <w:szCs w:val="24"/>
        </w:rPr>
        <w:t xml:space="preserve"> économique</w:t>
      </w:r>
      <w:r w:rsidR="00082356">
        <w:rPr>
          <w:rFonts w:ascii="Times New Roman" w:hAnsi="Times New Roman" w:cs="Times New Roman"/>
          <w:sz w:val="24"/>
          <w:szCs w:val="24"/>
        </w:rPr>
        <w:t>)</w:t>
      </w:r>
      <w:r w:rsidR="00B73405">
        <w:rPr>
          <w:rFonts w:ascii="Times New Roman" w:hAnsi="Times New Roman" w:cs="Times New Roman"/>
          <w:sz w:val="24"/>
          <w:szCs w:val="24"/>
        </w:rPr>
        <w:t>.</w:t>
      </w:r>
      <w:r w:rsidR="00604F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C71" w:rsidRDefault="00044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Déclaration des droits de 17</w:t>
      </w:r>
      <w:r w:rsidR="00A44839">
        <w:rPr>
          <w:rFonts w:ascii="Times New Roman" w:hAnsi="Times New Roman" w:cs="Times New Roman"/>
          <w:b/>
          <w:sz w:val="24"/>
          <w:szCs w:val="24"/>
        </w:rPr>
        <w:t>89</w:t>
      </w:r>
    </w:p>
    <w:p w:rsidR="00044C71" w:rsidRPr="002E0CD5" w:rsidRDefault="00044C71" w:rsidP="00044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la </w:t>
      </w:r>
      <w:r w:rsidRPr="00C40DC4">
        <w:rPr>
          <w:rFonts w:ascii="Times New Roman" w:hAnsi="Times New Roman" w:cs="Times New Roman"/>
          <w:sz w:val="24"/>
          <w:szCs w:val="24"/>
        </w:rPr>
        <w:t xml:space="preserve">Déclaration des droits de l’homme et du citoyen </w:t>
      </w:r>
      <w:r>
        <w:rPr>
          <w:rFonts w:ascii="Times New Roman" w:hAnsi="Times New Roman" w:cs="Times New Roman"/>
          <w:sz w:val="24"/>
          <w:szCs w:val="24"/>
        </w:rPr>
        <w:t xml:space="preserve">le débat va porter </w:t>
      </w:r>
      <w:r w:rsidR="00677C0E">
        <w:rPr>
          <w:rFonts w:ascii="Times New Roman" w:hAnsi="Times New Roman" w:cs="Times New Roman"/>
          <w:sz w:val="24"/>
          <w:szCs w:val="24"/>
        </w:rPr>
        <w:t xml:space="preserve">tout à la fois </w:t>
      </w:r>
      <w:r>
        <w:rPr>
          <w:rFonts w:ascii="Times New Roman" w:hAnsi="Times New Roman" w:cs="Times New Roman"/>
          <w:sz w:val="24"/>
          <w:szCs w:val="24"/>
        </w:rPr>
        <w:t xml:space="preserve">sur </w:t>
      </w:r>
      <w:r w:rsidR="00677C0E">
        <w:rPr>
          <w:rFonts w:ascii="Times New Roman" w:hAnsi="Times New Roman" w:cs="Times New Roman"/>
          <w:sz w:val="24"/>
          <w:szCs w:val="24"/>
        </w:rPr>
        <w:t>la raison de l’impôt, sur le principe de sa répartition, le droit de tous les citoyens non seulement de consentir</w:t>
      </w:r>
      <w:r w:rsidR="004A134B">
        <w:rPr>
          <w:rFonts w:ascii="Times New Roman" w:hAnsi="Times New Roman" w:cs="Times New Roman"/>
          <w:sz w:val="24"/>
          <w:szCs w:val="24"/>
        </w:rPr>
        <w:t xml:space="preserve"> à ce qui est appelé</w:t>
      </w:r>
      <w:r w:rsidR="00677C0E">
        <w:rPr>
          <w:rFonts w:ascii="Times New Roman" w:hAnsi="Times New Roman" w:cs="Times New Roman"/>
          <w:sz w:val="24"/>
          <w:szCs w:val="24"/>
        </w:rPr>
        <w:t xml:space="preserve"> « contribution commune »</w:t>
      </w:r>
      <w:r w:rsidR="004A134B">
        <w:rPr>
          <w:rFonts w:ascii="Times New Roman" w:hAnsi="Times New Roman" w:cs="Times New Roman"/>
          <w:sz w:val="24"/>
          <w:szCs w:val="24"/>
        </w:rPr>
        <w:t xml:space="preserve"> ou « publique »</w:t>
      </w:r>
      <w:r w:rsidR="00677C0E">
        <w:rPr>
          <w:rFonts w:ascii="Times New Roman" w:hAnsi="Times New Roman" w:cs="Times New Roman"/>
          <w:sz w:val="24"/>
          <w:szCs w:val="24"/>
        </w:rPr>
        <w:t xml:space="preserve">, mais aussi d’en contrôler l’emploi et d’en déterminer l’assiette. C’est dire combien la question de l’impôt est pour la première fois posée de manière systématique et radicale. </w:t>
      </w:r>
      <w:r w:rsidR="00E96DB9">
        <w:rPr>
          <w:rFonts w:ascii="Times New Roman" w:hAnsi="Times New Roman" w:cs="Times New Roman"/>
          <w:sz w:val="24"/>
          <w:szCs w:val="24"/>
        </w:rPr>
        <w:t>C’est la rédaction des articles 12, 13 et 14 qui concentre tous les débats</w:t>
      </w:r>
      <w:r w:rsidR="00A7445C"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 w:rsidR="00E96DB9">
        <w:rPr>
          <w:rFonts w:ascii="Times New Roman" w:hAnsi="Times New Roman" w:cs="Times New Roman"/>
          <w:sz w:val="24"/>
          <w:szCs w:val="24"/>
        </w:rPr>
        <w:t>. Ces articles</w:t>
      </w:r>
      <w:r w:rsidR="00B7516A">
        <w:rPr>
          <w:rFonts w:ascii="Times New Roman" w:hAnsi="Times New Roman" w:cs="Times New Roman"/>
          <w:sz w:val="24"/>
          <w:szCs w:val="24"/>
        </w:rPr>
        <w:t>, comme les deux suivants,</w:t>
      </w:r>
      <w:r w:rsidR="00E96DB9">
        <w:rPr>
          <w:rFonts w:ascii="Times New Roman" w:hAnsi="Times New Roman" w:cs="Times New Roman"/>
          <w:sz w:val="24"/>
          <w:szCs w:val="24"/>
        </w:rPr>
        <w:t xml:space="preserve"> ont pour caractéristique d’</w:t>
      </w:r>
      <w:r w:rsidR="00B7516A">
        <w:rPr>
          <w:rFonts w:ascii="Times New Roman" w:hAnsi="Times New Roman" w:cs="Times New Roman"/>
          <w:sz w:val="24"/>
          <w:szCs w:val="24"/>
        </w:rPr>
        <w:t>être issus du projet élaboré par le sixième bureau de l’Assemblée</w:t>
      </w:r>
      <w:r w:rsidR="001F1CAA">
        <w:rPr>
          <w:rFonts w:ascii="Times New Roman" w:hAnsi="Times New Roman" w:cs="Times New Roman"/>
          <w:sz w:val="24"/>
          <w:szCs w:val="24"/>
        </w:rPr>
        <w:t>, projet</w:t>
      </w:r>
      <w:r w:rsidR="00B7516A">
        <w:rPr>
          <w:rFonts w:ascii="Times New Roman" w:hAnsi="Times New Roman" w:cs="Times New Roman"/>
          <w:sz w:val="24"/>
          <w:szCs w:val="24"/>
        </w:rPr>
        <w:t xml:space="preserve"> retenu le 19 août 1789 comme base de la délibération. </w:t>
      </w:r>
      <w:r w:rsidR="001F1CAA">
        <w:rPr>
          <w:rFonts w:ascii="Times New Roman" w:hAnsi="Times New Roman" w:cs="Times New Roman"/>
          <w:sz w:val="24"/>
          <w:szCs w:val="24"/>
        </w:rPr>
        <w:t>L</w:t>
      </w:r>
      <w:r w:rsidR="00994D1F">
        <w:rPr>
          <w:rFonts w:ascii="Times New Roman" w:hAnsi="Times New Roman" w:cs="Times New Roman"/>
          <w:sz w:val="24"/>
          <w:szCs w:val="24"/>
        </w:rPr>
        <w:t>’article 12</w:t>
      </w:r>
      <w:r w:rsidR="001F1CAA">
        <w:rPr>
          <w:rFonts w:ascii="Times New Roman" w:hAnsi="Times New Roman" w:cs="Times New Roman"/>
          <w:sz w:val="24"/>
          <w:szCs w:val="24"/>
        </w:rPr>
        <w:t xml:space="preserve"> porte que « la garantie des droits de l’homme et du citoyen nécessite une force publique » instituée « pour l’avantage de tous ». </w:t>
      </w:r>
      <w:r w:rsidR="009711F2">
        <w:rPr>
          <w:rFonts w:ascii="Times New Roman" w:hAnsi="Times New Roman" w:cs="Times New Roman"/>
          <w:sz w:val="24"/>
          <w:szCs w:val="24"/>
        </w:rPr>
        <w:t>L</w:t>
      </w:r>
      <w:r w:rsidR="002D7232">
        <w:rPr>
          <w:rFonts w:ascii="Times New Roman" w:hAnsi="Times New Roman" w:cs="Times New Roman"/>
          <w:sz w:val="24"/>
          <w:szCs w:val="24"/>
        </w:rPr>
        <w:t>a version modifiée de l</w:t>
      </w:r>
      <w:r w:rsidR="009711F2">
        <w:rPr>
          <w:rFonts w:ascii="Times New Roman" w:hAnsi="Times New Roman" w:cs="Times New Roman"/>
          <w:sz w:val="24"/>
          <w:szCs w:val="24"/>
        </w:rPr>
        <w:t>’article 13</w:t>
      </w:r>
      <w:r w:rsidR="002D7232">
        <w:rPr>
          <w:rFonts w:ascii="Times New Roman" w:hAnsi="Times New Roman" w:cs="Times New Roman"/>
          <w:sz w:val="24"/>
          <w:szCs w:val="24"/>
        </w:rPr>
        <w:t xml:space="preserve"> </w:t>
      </w:r>
      <w:r w:rsidR="007F7168">
        <w:rPr>
          <w:rFonts w:ascii="Times New Roman" w:hAnsi="Times New Roman" w:cs="Times New Roman"/>
          <w:sz w:val="24"/>
          <w:szCs w:val="24"/>
        </w:rPr>
        <w:t xml:space="preserve"> </w:t>
      </w:r>
      <w:r w:rsidR="002D7232">
        <w:rPr>
          <w:rFonts w:ascii="Times New Roman" w:hAnsi="Times New Roman" w:cs="Times New Roman"/>
          <w:sz w:val="24"/>
          <w:szCs w:val="24"/>
        </w:rPr>
        <w:t xml:space="preserve">affirme </w:t>
      </w:r>
      <w:r w:rsidR="007F7168">
        <w:rPr>
          <w:rFonts w:ascii="Times New Roman" w:hAnsi="Times New Roman" w:cs="Times New Roman"/>
          <w:sz w:val="24"/>
          <w:szCs w:val="24"/>
        </w:rPr>
        <w:t xml:space="preserve">que la contribution commune « doit être également répartie entre tous les citoyens, </w:t>
      </w:r>
      <w:r w:rsidR="001962D6">
        <w:rPr>
          <w:rFonts w:ascii="Times New Roman" w:hAnsi="Times New Roman" w:cs="Times New Roman"/>
          <w:sz w:val="24"/>
          <w:szCs w:val="24"/>
        </w:rPr>
        <w:t xml:space="preserve">en raison de leurs facultés ». </w:t>
      </w:r>
      <w:r w:rsidR="007F7168">
        <w:rPr>
          <w:rFonts w:ascii="Times New Roman" w:hAnsi="Times New Roman" w:cs="Times New Roman"/>
          <w:sz w:val="24"/>
          <w:szCs w:val="24"/>
        </w:rPr>
        <w:t xml:space="preserve">Mais c’est surtout </w:t>
      </w:r>
      <w:r w:rsidR="00F72AD2">
        <w:rPr>
          <w:rFonts w:ascii="Times New Roman" w:hAnsi="Times New Roman" w:cs="Times New Roman"/>
          <w:sz w:val="24"/>
          <w:szCs w:val="24"/>
        </w:rPr>
        <w:t xml:space="preserve">l’article 14 </w:t>
      </w:r>
      <w:r w:rsidR="00A7445C">
        <w:rPr>
          <w:rFonts w:ascii="Times New Roman" w:hAnsi="Times New Roman" w:cs="Times New Roman"/>
          <w:sz w:val="24"/>
          <w:szCs w:val="24"/>
        </w:rPr>
        <w:t xml:space="preserve">relatif à la nature de l’impôt </w:t>
      </w:r>
      <w:r w:rsidR="00F72AD2">
        <w:rPr>
          <w:rFonts w:ascii="Times New Roman" w:hAnsi="Times New Roman" w:cs="Times New Roman"/>
          <w:sz w:val="24"/>
          <w:szCs w:val="24"/>
        </w:rPr>
        <w:t xml:space="preserve">qui donne lieu aux débats les plus vifs. </w:t>
      </w:r>
      <w:r w:rsidR="00A7445C">
        <w:rPr>
          <w:rFonts w:ascii="Times New Roman" w:hAnsi="Times New Roman" w:cs="Times New Roman"/>
          <w:sz w:val="24"/>
          <w:szCs w:val="24"/>
        </w:rPr>
        <w:t xml:space="preserve">La rédaction initiale posait que </w:t>
      </w:r>
      <w:r w:rsidR="00FA4AC8">
        <w:rPr>
          <w:rFonts w:ascii="Times New Roman" w:hAnsi="Times New Roman" w:cs="Times New Roman"/>
          <w:sz w:val="24"/>
          <w:szCs w:val="24"/>
        </w:rPr>
        <w:t xml:space="preserve">la contribution publique est « une portion </w:t>
      </w:r>
      <w:r w:rsidR="00FA4AC8" w:rsidRPr="002E0CD5">
        <w:rPr>
          <w:rFonts w:ascii="Times New Roman" w:hAnsi="Times New Roman" w:cs="Times New Roman"/>
          <w:sz w:val="24"/>
          <w:szCs w:val="24"/>
        </w:rPr>
        <w:t>retranchée de la propriété de chaque citoyen </w:t>
      </w:r>
      <w:r w:rsidR="00FA4AC8" w:rsidRPr="002E0CD5">
        <w:rPr>
          <w:rStyle w:val="Appelnotedebasdep"/>
          <w:rFonts w:ascii="Times New Roman" w:hAnsi="Times New Roman" w:cs="Times New Roman"/>
          <w:sz w:val="24"/>
          <w:szCs w:val="24"/>
        </w:rPr>
        <w:footnoteReference w:id="7"/>
      </w:r>
      <w:r w:rsidR="00FA4AC8" w:rsidRPr="002E0CD5">
        <w:rPr>
          <w:rFonts w:ascii="Times New Roman" w:hAnsi="Times New Roman" w:cs="Times New Roman"/>
          <w:sz w:val="24"/>
          <w:szCs w:val="24"/>
        </w:rPr>
        <w:t>». C’est sur ce point que les objections ap</w:t>
      </w:r>
      <w:r w:rsidR="00E8526A">
        <w:rPr>
          <w:rFonts w:ascii="Times New Roman" w:hAnsi="Times New Roman" w:cs="Times New Roman"/>
          <w:sz w:val="24"/>
          <w:szCs w:val="24"/>
        </w:rPr>
        <w:t xml:space="preserve">paraissent. Mirabeau </w:t>
      </w:r>
      <w:r w:rsidR="007A5F92" w:rsidRPr="002E0CD5">
        <w:rPr>
          <w:rFonts w:ascii="Times New Roman" w:hAnsi="Times New Roman" w:cs="Times New Roman"/>
          <w:sz w:val="24"/>
          <w:szCs w:val="24"/>
        </w:rPr>
        <w:t xml:space="preserve">fait valoir que l’impôt n’est pas un </w:t>
      </w:r>
      <w:r w:rsidR="00DA4D4A" w:rsidRPr="002E0CD5">
        <w:rPr>
          <w:rFonts w:ascii="Times New Roman" w:hAnsi="Times New Roman" w:cs="Times New Roman"/>
          <w:sz w:val="24"/>
          <w:szCs w:val="24"/>
        </w:rPr>
        <w:t>« </w:t>
      </w:r>
      <w:r w:rsidR="007A5F92" w:rsidRPr="002E0CD5">
        <w:rPr>
          <w:rFonts w:ascii="Times New Roman" w:hAnsi="Times New Roman" w:cs="Times New Roman"/>
          <w:sz w:val="24"/>
          <w:szCs w:val="24"/>
        </w:rPr>
        <w:t>retranchement de la propriété</w:t>
      </w:r>
      <w:r w:rsidR="00DA4D4A" w:rsidRPr="002E0CD5">
        <w:rPr>
          <w:rFonts w:ascii="Times New Roman" w:hAnsi="Times New Roman" w:cs="Times New Roman"/>
          <w:sz w:val="24"/>
          <w:szCs w:val="24"/>
        </w:rPr>
        <w:t> »</w:t>
      </w:r>
      <w:r w:rsidR="007A5F92" w:rsidRPr="002E0CD5">
        <w:rPr>
          <w:rFonts w:ascii="Times New Roman" w:hAnsi="Times New Roman" w:cs="Times New Roman"/>
          <w:sz w:val="24"/>
          <w:szCs w:val="24"/>
        </w:rPr>
        <w:t xml:space="preserve">, mais une </w:t>
      </w:r>
      <w:r w:rsidR="00DA4D4A" w:rsidRPr="002E0CD5">
        <w:rPr>
          <w:rFonts w:ascii="Times New Roman" w:hAnsi="Times New Roman" w:cs="Times New Roman"/>
          <w:sz w:val="24"/>
          <w:szCs w:val="24"/>
        </w:rPr>
        <w:t>« </w:t>
      </w:r>
      <w:r w:rsidR="007A5F92" w:rsidRPr="002E0CD5">
        <w:rPr>
          <w:rFonts w:ascii="Times New Roman" w:hAnsi="Times New Roman" w:cs="Times New Roman"/>
          <w:sz w:val="24"/>
          <w:szCs w:val="24"/>
        </w:rPr>
        <w:t xml:space="preserve">jouissance </w:t>
      </w:r>
      <w:r w:rsidR="007A5F92" w:rsidRPr="002E0CD5">
        <w:rPr>
          <w:rFonts w:ascii="Times New Roman" w:hAnsi="Times New Roman" w:cs="Times New Roman"/>
          <w:i/>
          <w:sz w:val="24"/>
          <w:szCs w:val="24"/>
        </w:rPr>
        <w:t>commune</w:t>
      </w:r>
      <w:r w:rsidR="007A5F92" w:rsidRPr="002E0CD5">
        <w:rPr>
          <w:rFonts w:ascii="Times New Roman" w:hAnsi="Times New Roman" w:cs="Times New Roman"/>
          <w:sz w:val="24"/>
          <w:szCs w:val="24"/>
        </w:rPr>
        <w:t xml:space="preserve"> à tous les citoyens</w:t>
      </w:r>
      <w:r w:rsidR="00DA4D4A" w:rsidRPr="002E0CD5">
        <w:rPr>
          <w:rFonts w:ascii="Times New Roman" w:hAnsi="Times New Roman" w:cs="Times New Roman"/>
          <w:sz w:val="24"/>
          <w:szCs w:val="24"/>
        </w:rPr>
        <w:t> »</w:t>
      </w:r>
      <w:r w:rsidR="006E5C74" w:rsidRPr="002E0CD5">
        <w:rPr>
          <w:rFonts w:ascii="Times New Roman" w:hAnsi="Times New Roman" w:cs="Times New Roman"/>
          <w:sz w:val="24"/>
          <w:szCs w:val="24"/>
        </w:rPr>
        <w:t>. Périsse du Luc affirme que la contribution publique est</w:t>
      </w:r>
      <w:r w:rsidR="00DA4D4A" w:rsidRPr="002E0CD5">
        <w:rPr>
          <w:rFonts w:ascii="Times New Roman" w:hAnsi="Times New Roman" w:cs="Times New Roman"/>
          <w:sz w:val="24"/>
          <w:szCs w:val="24"/>
        </w:rPr>
        <w:t xml:space="preserve"> une </w:t>
      </w:r>
      <w:r w:rsidR="006E5C74" w:rsidRPr="002E0CD5">
        <w:rPr>
          <w:rFonts w:ascii="Times New Roman" w:hAnsi="Times New Roman" w:cs="Times New Roman"/>
          <w:sz w:val="24"/>
          <w:szCs w:val="24"/>
        </w:rPr>
        <w:t>« </w:t>
      </w:r>
      <w:r w:rsidR="00DA4D4A" w:rsidRPr="002E0CD5">
        <w:rPr>
          <w:rFonts w:ascii="Times New Roman" w:hAnsi="Times New Roman" w:cs="Times New Roman"/>
          <w:sz w:val="24"/>
          <w:szCs w:val="24"/>
        </w:rPr>
        <w:t xml:space="preserve">dette </w:t>
      </w:r>
      <w:r w:rsidR="006E5C74" w:rsidRPr="002E0CD5">
        <w:rPr>
          <w:rFonts w:ascii="Times New Roman" w:hAnsi="Times New Roman" w:cs="Times New Roman"/>
          <w:sz w:val="24"/>
          <w:szCs w:val="24"/>
        </w:rPr>
        <w:t xml:space="preserve">sacrée » </w:t>
      </w:r>
      <w:r w:rsidR="00DA4D4A" w:rsidRPr="002E0CD5">
        <w:rPr>
          <w:rFonts w:ascii="Times New Roman" w:hAnsi="Times New Roman" w:cs="Times New Roman"/>
          <w:sz w:val="24"/>
          <w:szCs w:val="24"/>
        </w:rPr>
        <w:t xml:space="preserve">de </w:t>
      </w:r>
      <w:r w:rsidR="006E5C74" w:rsidRPr="002E0CD5">
        <w:rPr>
          <w:rFonts w:ascii="Times New Roman" w:hAnsi="Times New Roman" w:cs="Times New Roman"/>
          <w:sz w:val="24"/>
          <w:szCs w:val="24"/>
        </w:rPr>
        <w:t>tout citoyen et que ne pas s’en acquitter est un « véritable larcin fait à la Nation »</w:t>
      </w:r>
      <w:r w:rsidR="00DA4D4A" w:rsidRPr="002E0CD5">
        <w:rPr>
          <w:rFonts w:ascii="Times New Roman" w:hAnsi="Times New Roman" w:cs="Times New Roman"/>
          <w:sz w:val="24"/>
          <w:szCs w:val="24"/>
        </w:rPr>
        <w:t xml:space="preserve">. Pour Robespierre il est « une portion de la propriété </w:t>
      </w:r>
      <w:r w:rsidR="00DA4D4A" w:rsidRPr="002E0CD5">
        <w:rPr>
          <w:rFonts w:ascii="Times New Roman" w:hAnsi="Times New Roman" w:cs="Times New Roman"/>
          <w:i/>
          <w:sz w:val="24"/>
          <w:szCs w:val="24"/>
        </w:rPr>
        <w:t>mise en commun</w:t>
      </w:r>
      <w:r w:rsidR="00DA4D4A" w:rsidRPr="002E0CD5">
        <w:rPr>
          <w:rFonts w:ascii="Times New Roman" w:hAnsi="Times New Roman" w:cs="Times New Roman"/>
          <w:sz w:val="24"/>
          <w:szCs w:val="24"/>
        </w:rPr>
        <w:t xml:space="preserve"> dans les mains de l’administrateur public »</w:t>
      </w:r>
      <w:r w:rsidR="00AC65D4">
        <w:rPr>
          <w:rStyle w:val="Appelnotedebasdep"/>
          <w:rFonts w:ascii="Times New Roman" w:hAnsi="Times New Roman" w:cs="Times New Roman"/>
          <w:sz w:val="24"/>
          <w:szCs w:val="24"/>
        </w:rPr>
        <w:footnoteReference w:id="8"/>
      </w:r>
      <w:r w:rsidR="00DA4D4A" w:rsidRPr="002E0CD5">
        <w:rPr>
          <w:rFonts w:ascii="Times New Roman" w:hAnsi="Times New Roman" w:cs="Times New Roman"/>
          <w:sz w:val="24"/>
          <w:szCs w:val="24"/>
        </w:rPr>
        <w:t>.</w:t>
      </w:r>
      <w:r w:rsidR="009B42FC" w:rsidRPr="002E0CD5">
        <w:rPr>
          <w:rFonts w:ascii="Times New Roman" w:hAnsi="Times New Roman" w:cs="Times New Roman"/>
          <w:sz w:val="24"/>
          <w:szCs w:val="24"/>
        </w:rPr>
        <w:t xml:space="preserve"> </w:t>
      </w:r>
      <w:r w:rsidR="00D823F9" w:rsidRPr="002E0CD5">
        <w:rPr>
          <w:rFonts w:ascii="Times New Roman" w:hAnsi="Times New Roman" w:cs="Times New Roman"/>
          <w:sz w:val="24"/>
          <w:szCs w:val="24"/>
        </w:rPr>
        <w:t xml:space="preserve">Mais il va plus loin encore en objectant à la formule « consentir l’impôt » du projet du sixième bureau : on ne peut dissocier le droit de consentir l’impôt du </w:t>
      </w:r>
      <w:r w:rsidR="00D823F9" w:rsidRPr="002E0CD5">
        <w:rPr>
          <w:rFonts w:ascii="Times New Roman" w:hAnsi="Times New Roman" w:cs="Times New Roman"/>
          <w:sz w:val="24"/>
          <w:szCs w:val="24"/>
        </w:rPr>
        <w:lastRenderedPageBreak/>
        <w:t xml:space="preserve">droit de répartir l’impôt, </w:t>
      </w:r>
      <w:r w:rsidR="006236FD" w:rsidRPr="002E0CD5">
        <w:rPr>
          <w:rFonts w:ascii="Times New Roman" w:hAnsi="Times New Roman" w:cs="Times New Roman"/>
          <w:sz w:val="24"/>
          <w:szCs w:val="24"/>
        </w:rPr>
        <w:t>ces deux droits relevant du seul pouvoir législatif</w:t>
      </w:r>
      <w:r w:rsidR="00D823F9" w:rsidRPr="002E0CD5">
        <w:rPr>
          <w:rFonts w:ascii="Times New Roman" w:hAnsi="Times New Roman" w:cs="Times New Roman"/>
          <w:sz w:val="24"/>
          <w:szCs w:val="24"/>
        </w:rPr>
        <w:t xml:space="preserve"> </w:t>
      </w:r>
      <w:r w:rsidR="006236FD" w:rsidRPr="002E0CD5">
        <w:rPr>
          <w:rFonts w:ascii="Times New Roman" w:hAnsi="Times New Roman" w:cs="Times New Roman"/>
          <w:sz w:val="24"/>
          <w:szCs w:val="24"/>
        </w:rPr>
        <w:t>et non du pouvoir</w:t>
      </w:r>
      <w:r w:rsidR="00E8526A">
        <w:rPr>
          <w:rFonts w:ascii="Times New Roman" w:hAnsi="Times New Roman" w:cs="Times New Roman"/>
          <w:sz w:val="24"/>
          <w:szCs w:val="24"/>
        </w:rPr>
        <w:t xml:space="preserve"> exécutif. La rédaction finale</w:t>
      </w:r>
      <w:r w:rsidR="005B6229">
        <w:rPr>
          <w:rFonts w:ascii="Times New Roman" w:hAnsi="Times New Roman" w:cs="Times New Roman"/>
          <w:sz w:val="24"/>
          <w:szCs w:val="24"/>
        </w:rPr>
        <w:t xml:space="preserve"> évite de se prononcer :</w:t>
      </w:r>
      <w:r w:rsidR="00E70157" w:rsidRPr="002E0CD5">
        <w:rPr>
          <w:rFonts w:ascii="Times New Roman" w:hAnsi="Times New Roman" w:cs="Times New Roman"/>
          <w:sz w:val="24"/>
          <w:szCs w:val="24"/>
        </w:rPr>
        <w:t xml:space="preserve"> « L</w:t>
      </w:r>
      <w:r w:rsidR="0011610B" w:rsidRPr="002E0CD5">
        <w:rPr>
          <w:rFonts w:ascii="Times New Roman" w:hAnsi="Times New Roman" w:cs="Times New Roman"/>
          <w:sz w:val="24"/>
          <w:szCs w:val="24"/>
        </w:rPr>
        <w:t>es citoyens ont le droit de constater</w:t>
      </w:r>
      <w:r w:rsidR="005B6229">
        <w:rPr>
          <w:rFonts w:ascii="Times New Roman" w:hAnsi="Times New Roman" w:cs="Times New Roman"/>
          <w:sz w:val="24"/>
          <w:szCs w:val="24"/>
        </w:rPr>
        <w:t>,</w:t>
      </w:r>
      <w:r w:rsidR="0011610B" w:rsidRPr="002E0CD5">
        <w:rPr>
          <w:rFonts w:ascii="Times New Roman" w:hAnsi="Times New Roman" w:cs="Times New Roman"/>
          <w:sz w:val="24"/>
          <w:szCs w:val="24"/>
        </w:rPr>
        <w:t xml:space="preserve"> </w:t>
      </w:r>
      <w:r w:rsidR="0011610B" w:rsidRPr="002D6E32">
        <w:rPr>
          <w:rFonts w:ascii="Times New Roman" w:hAnsi="Times New Roman" w:cs="Times New Roman"/>
          <w:sz w:val="24"/>
          <w:szCs w:val="24"/>
        </w:rPr>
        <w:t>par eux-mêmes ou par leurs représentants</w:t>
      </w:r>
      <w:r w:rsidR="005B6229">
        <w:rPr>
          <w:rFonts w:ascii="Times New Roman" w:hAnsi="Times New Roman" w:cs="Times New Roman"/>
          <w:sz w:val="24"/>
          <w:szCs w:val="24"/>
        </w:rPr>
        <w:t>,</w:t>
      </w:r>
      <w:r w:rsidR="0011610B" w:rsidRPr="002E0CD5">
        <w:rPr>
          <w:rFonts w:ascii="Times New Roman" w:hAnsi="Times New Roman" w:cs="Times New Roman"/>
          <w:sz w:val="24"/>
          <w:szCs w:val="24"/>
        </w:rPr>
        <w:t xml:space="preserve"> la nécessité de la contribution publique, de la consentir librement, d’en suivre l’emploi et d’en déterminer la quotité, l’assiette, le recouvrement et la durée. » Cette formulation est en retrait sur le projet initial</w:t>
      </w:r>
      <w:r w:rsidR="00E70157" w:rsidRPr="002E0CD5">
        <w:rPr>
          <w:rFonts w:ascii="Times New Roman" w:hAnsi="Times New Roman" w:cs="Times New Roman"/>
          <w:sz w:val="24"/>
          <w:szCs w:val="24"/>
        </w:rPr>
        <w:t xml:space="preserve"> qui affirmait que « chaque citoyen a le droit de constater la nécessité de la contribution publique »</w:t>
      </w:r>
      <w:r w:rsidR="005B6229">
        <w:rPr>
          <w:rFonts w:ascii="Times New Roman" w:hAnsi="Times New Roman" w:cs="Times New Roman"/>
          <w:sz w:val="24"/>
          <w:szCs w:val="24"/>
        </w:rPr>
        <w:t>,</w:t>
      </w:r>
      <w:r w:rsidR="00E70157" w:rsidRPr="002E0CD5">
        <w:rPr>
          <w:rFonts w:ascii="Times New Roman" w:hAnsi="Times New Roman" w:cs="Times New Roman"/>
          <w:sz w:val="24"/>
          <w:szCs w:val="24"/>
        </w:rPr>
        <w:t xml:space="preserve"> tout comme il voulait que « tout citoyen eût coopéré </w:t>
      </w:r>
      <w:r w:rsidR="00E70157" w:rsidRPr="002E0CD5">
        <w:rPr>
          <w:rFonts w:ascii="Times New Roman" w:hAnsi="Times New Roman" w:cs="Times New Roman"/>
          <w:i/>
          <w:sz w:val="24"/>
          <w:szCs w:val="24"/>
        </w:rPr>
        <w:t>immédiatement</w:t>
      </w:r>
      <w:r w:rsidR="00E70157" w:rsidRPr="002E0CD5">
        <w:rPr>
          <w:rFonts w:ascii="Times New Roman" w:hAnsi="Times New Roman" w:cs="Times New Roman"/>
          <w:sz w:val="24"/>
          <w:szCs w:val="24"/>
        </w:rPr>
        <w:t xml:space="preserve"> à la formation d</w:t>
      </w:r>
      <w:r w:rsidR="005B6229">
        <w:rPr>
          <w:rFonts w:ascii="Times New Roman" w:hAnsi="Times New Roman" w:cs="Times New Roman"/>
          <w:sz w:val="24"/>
          <w:szCs w:val="24"/>
        </w:rPr>
        <w:t>e la loi ». La Déclaration</w:t>
      </w:r>
      <w:r w:rsidR="00E70157" w:rsidRPr="002E0CD5">
        <w:rPr>
          <w:rFonts w:ascii="Times New Roman" w:hAnsi="Times New Roman" w:cs="Times New Roman"/>
          <w:sz w:val="24"/>
          <w:szCs w:val="24"/>
        </w:rPr>
        <w:t xml:space="preserve"> lie la participation à </w:t>
      </w:r>
      <w:r w:rsidR="003462E1" w:rsidRPr="002E0CD5">
        <w:rPr>
          <w:rFonts w:ascii="Times New Roman" w:hAnsi="Times New Roman" w:cs="Times New Roman"/>
          <w:sz w:val="24"/>
          <w:szCs w:val="24"/>
        </w:rPr>
        <w:t>la répartition de l’impôt à la participation à la formation de la loi. Dans les deux cas</w:t>
      </w:r>
      <w:r w:rsidR="005B6229">
        <w:rPr>
          <w:rFonts w:ascii="Times New Roman" w:hAnsi="Times New Roman" w:cs="Times New Roman"/>
          <w:sz w:val="24"/>
          <w:szCs w:val="24"/>
        </w:rPr>
        <w:t>,</w:t>
      </w:r>
      <w:r w:rsidR="00C27FF8" w:rsidRPr="002E0CD5">
        <w:rPr>
          <w:rFonts w:ascii="Times New Roman" w:hAnsi="Times New Roman" w:cs="Times New Roman"/>
          <w:sz w:val="24"/>
          <w:szCs w:val="24"/>
        </w:rPr>
        <w:t xml:space="preserve"> la formulation</w:t>
      </w:r>
      <w:r w:rsidR="003462E1" w:rsidRPr="002E0CD5">
        <w:rPr>
          <w:rFonts w:ascii="Times New Roman" w:hAnsi="Times New Roman" w:cs="Times New Roman"/>
          <w:sz w:val="24"/>
          <w:szCs w:val="24"/>
        </w:rPr>
        <w:t xml:space="preserve"> </w:t>
      </w:r>
      <w:r w:rsidR="005B6229">
        <w:rPr>
          <w:rFonts w:ascii="Times New Roman" w:hAnsi="Times New Roman" w:cs="Times New Roman"/>
          <w:sz w:val="24"/>
          <w:szCs w:val="24"/>
        </w:rPr>
        <w:t xml:space="preserve">retenue </w:t>
      </w:r>
      <w:r w:rsidR="003462E1" w:rsidRPr="002E0CD5">
        <w:rPr>
          <w:rFonts w:ascii="Times New Roman" w:hAnsi="Times New Roman" w:cs="Times New Roman"/>
          <w:sz w:val="24"/>
          <w:szCs w:val="24"/>
        </w:rPr>
        <w:t>ménage la possibilité d’une participation indirecte p</w:t>
      </w:r>
      <w:r w:rsidR="00060B66" w:rsidRPr="002E0CD5">
        <w:rPr>
          <w:rFonts w:ascii="Times New Roman" w:hAnsi="Times New Roman" w:cs="Times New Roman"/>
          <w:sz w:val="24"/>
          <w:szCs w:val="24"/>
        </w:rPr>
        <w:t>ar la voie de la représentation.</w:t>
      </w:r>
      <w:r w:rsidR="00C27FF8" w:rsidRPr="002E0CD5">
        <w:rPr>
          <w:rFonts w:ascii="Times New Roman" w:hAnsi="Times New Roman" w:cs="Times New Roman"/>
          <w:sz w:val="24"/>
          <w:szCs w:val="24"/>
        </w:rPr>
        <w:t xml:space="preserve"> </w:t>
      </w:r>
      <w:r w:rsidR="00453B5F" w:rsidRPr="002E0CD5">
        <w:rPr>
          <w:rFonts w:ascii="Times New Roman" w:hAnsi="Times New Roman" w:cs="Times New Roman"/>
          <w:sz w:val="24"/>
          <w:szCs w:val="24"/>
        </w:rPr>
        <w:t>Ces deux éléments forment</w:t>
      </w:r>
      <w:r w:rsidR="009C14EC" w:rsidRPr="002E0CD5">
        <w:rPr>
          <w:rFonts w:ascii="Times New Roman" w:hAnsi="Times New Roman" w:cs="Times New Roman"/>
          <w:sz w:val="24"/>
          <w:szCs w:val="24"/>
        </w:rPr>
        <w:t xml:space="preserve"> le socle de la conception dite </w:t>
      </w:r>
      <w:r w:rsidR="00453B5F" w:rsidRPr="002E0CD5">
        <w:rPr>
          <w:rFonts w:ascii="Times New Roman" w:hAnsi="Times New Roman" w:cs="Times New Roman"/>
          <w:sz w:val="24"/>
          <w:szCs w:val="24"/>
        </w:rPr>
        <w:t>« </w:t>
      </w:r>
      <w:r w:rsidR="009C14EC" w:rsidRPr="002E0CD5">
        <w:rPr>
          <w:rFonts w:ascii="Times New Roman" w:hAnsi="Times New Roman" w:cs="Times New Roman"/>
          <w:sz w:val="24"/>
          <w:szCs w:val="24"/>
        </w:rPr>
        <w:t>républicaine</w:t>
      </w:r>
      <w:r w:rsidR="00453B5F" w:rsidRPr="002E0CD5">
        <w:rPr>
          <w:rFonts w:ascii="Times New Roman" w:hAnsi="Times New Roman" w:cs="Times New Roman"/>
          <w:sz w:val="24"/>
          <w:szCs w:val="24"/>
        </w:rPr>
        <w:t> »</w:t>
      </w:r>
      <w:r w:rsidR="009C14EC" w:rsidRPr="002E0CD5">
        <w:rPr>
          <w:rFonts w:ascii="Times New Roman" w:hAnsi="Times New Roman" w:cs="Times New Roman"/>
          <w:sz w:val="24"/>
          <w:szCs w:val="24"/>
        </w:rPr>
        <w:t xml:space="preserve"> de l’impôt</w:t>
      </w:r>
      <w:r w:rsidR="006C53C1" w:rsidRPr="002E0CD5">
        <w:rPr>
          <w:rFonts w:ascii="Times New Roman" w:hAnsi="Times New Roman" w:cs="Times New Roman"/>
          <w:sz w:val="24"/>
          <w:szCs w:val="24"/>
        </w:rPr>
        <w:t xml:space="preserve"> qui </w:t>
      </w:r>
      <w:r w:rsidR="00BF39DD">
        <w:rPr>
          <w:rFonts w:ascii="Times New Roman" w:hAnsi="Times New Roman" w:cs="Times New Roman"/>
          <w:sz w:val="24"/>
          <w:szCs w:val="24"/>
        </w:rPr>
        <w:t xml:space="preserve">a historiquement </w:t>
      </w:r>
      <w:r w:rsidR="005F0578">
        <w:rPr>
          <w:rFonts w:ascii="Times New Roman" w:hAnsi="Times New Roman" w:cs="Times New Roman"/>
          <w:sz w:val="24"/>
          <w:szCs w:val="24"/>
        </w:rPr>
        <w:t>privilégié</w:t>
      </w:r>
      <w:r w:rsidR="006C53C1" w:rsidRPr="002E0CD5">
        <w:rPr>
          <w:rFonts w:ascii="Times New Roman" w:hAnsi="Times New Roman" w:cs="Times New Roman"/>
          <w:sz w:val="24"/>
          <w:szCs w:val="24"/>
        </w:rPr>
        <w:t xml:space="preserve"> la progressivité de l’impôt sur le revenu</w:t>
      </w:r>
      <w:r w:rsidR="009C14EC" w:rsidRPr="002E0CD5">
        <w:rPr>
          <w:rFonts w:ascii="Times New Roman" w:hAnsi="Times New Roman" w:cs="Times New Roman"/>
          <w:sz w:val="24"/>
          <w:szCs w:val="24"/>
        </w:rPr>
        <w:t>.</w:t>
      </w:r>
    </w:p>
    <w:p w:rsidR="00F63F0B" w:rsidRPr="002E0CD5" w:rsidRDefault="0049382A">
      <w:pPr>
        <w:rPr>
          <w:rFonts w:ascii="Times New Roman" w:hAnsi="Times New Roman" w:cs="Times New Roman"/>
          <w:b/>
          <w:sz w:val="24"/>
          <w:szCs w:val="24"/>
        </w:rPr>
      </w:pPr>
      <w:r w:rsidRPr="002E0CD5">
        <w:rPr>
          <w:rFonts w:ascii="Times New Roman" w:hAnsi="Times New Roman" w:cs="Times New Roman"/>
          <w:b/>
          <w:sz w:val="24"/>
          <w:szCs w:val="24"/>
        </w:rPr>
        <w:t>La conception néolibérale de l’impôt</w:t>
      </w:r>
    </w:p>
    <w:p w:rsidR="00C27FF8" w:rsidRPr="002E0CD5" w:rsidRDefault="009C14EC" w:rsidP="00B72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C’est à ce socle que la contre</w:t>
      </w:r>
      <w:r w:rsidR="00453B5F" w:rsidRPr="002E0CD5">
        <w:rPr>
          <w:rFonts w:ascii="Times New Roman" w:hAnsi="Times New Roman" w:cs="Times New Roman"/>
          <w:sz w:val="24"/>
          <w:szCs w:val="24"/>
        </w:rPr>
        <w:t>-</w:t>
      </w:r>
      <w:r w:rsidRPr="002E0CD5">
        <w:rPr>
          <w:rFonts w:ascii="Times New Roman" w:hAnsi="Times New Roman" w:cs="Times New Roman"/>
          <w:sz w:val="24"/>
          <w:szCs w:val="24"/>
        </w:rPr>
        <w:t xml:space="preserve">révolution néolibérale s’attaque </w:t>
      </w:r>
      <w:r w:rsidR="00C44B4C" w:rsidRPr="002E0CD5">
        <w:rPr>
          <w:rFonts w:ascii="Times New Roman" w:hAnsi="Times New Roman" w:cs="Times New Roman"/>
          <w:sz w:val="24"/>
          <w:szCs w:val="24"/>
        </w:rPr>
        <w:t xml:space="preserve">directement </w:t>
      </w:r>
      <w:r w:rsidRPr="002E0CD5">
        <w:rPr>
          <w:rFonts w:ascii="Times New Roman" w:hAnsi="Times New Roman" w:cs="Times New Roman"/>
          <w:sz w:val="24"/>
          <w:szCs w:val="24"/>
        </w:rPr>
        <w:t>au début des années 1980. En un sens</w:t>
      </w:r>
      <w:r w:rsidR="005F0578">
        <w:rPr>
          <w:rFonts w:ascii="Times New Roman" w:hAnsi="Times New Roman" w:cs="Times New Roman"/>
          <w:sz w:val="24"/>
          <w:szCs w:val="24"/>
        </w:rPr>
        <w:t>,</w:t>
      </w:r>
      <w:r w:rsidRPr="002E0CD5">
        <w:rPr>
          <w:rFonts w:ascii="Times New Roman" w:hAnsi="Times New Roman" w:cs="Times New Roman"/>
          <w:sz w:val="24"/>
          <w:szCs w:val="24"/>
        </w:rPr>
        <w:t xml:space="preserve"> on </w:t>
      </w:r>
      <w:r w:rsidR="00C44B4C" w:rsidRPr="002E0CD5">
        <w:rPr>
          <w:rFonts w:ascii="Times New Roman" w:hAnsi="Times New Roman" w:cs="Times New Roman"/>
          <w:sz w:val="24"/>
          <w:szCs w:val="24"/>
        </w:rPr>
        <w:t xml:space="preserve">en </w:t>
      </w:r>
      <w:r w:rsidRPr="002E0CD5">
        <w:rPr>
          <w:rFonts w:ascii="Times New Roman" w:hAnsi="Times New Roman" w:cs="Times New Roman"/>
          <w:sz w:val="24"/>
          <w:szCs w:val="24"/>
        </w:rPr>
        <w:t>revient</w:t>
      </w:r>
      <w:r w:rsidR="00994D1F" w:rsidRPr="002E0CD5">
        <w:rPr>
          <w:rFonts w:ascii="Times New Roman" w:hAnsi="Times New Roman" w:cs="Times New Roman"/>
          <w:sz w:val="24"/>
          <w:szCs w:val="24"/>
        </w:rPr>
        <w:t xml:space="preserve"> à l’idée </w:t>
      </w:r>
      <w:r w:rsidRPr="002E0CD5">
        <w:rPr>
          <w:rFonts w:ascii="Times New Roman" w:hAnsi="Times New Roman" w:cs="Times New Roman"/>
          <w:sz w:val="24"/>
          <w:szCs w:val="24"/>
        </w:rPr>
        <w:t xml:space="preserve">toute négative </w:t>
      </w:r>
      <w:r w:rsidR="00994D1F" w:rsidRPr="002E0CD5">
        <w:rPr>
          <w:rFonts w:ascii="Times New Roman" w:hAnsi="Times New Roman" w:cs="Times New Roman"/>
          <w:sz w:val="24"/>
          <w:szCs w:val="24"/>
        </w:rPr>
        <w:t>d</w:t>
      </w:r>
      <w:r w:rsidRPr="002E0CD5">
        <w:rPr>
          <w:rFonts w:ascii="Times New Roman" w:hAnsi="Times New Roman" w:cs="Times New Roman"/>
          <w:sz w:val="24"/>
          <w:szCs w:val="24"/>
        </w:rPr>
        <w:t>e l’impôt comme</w:t>
      </w:r>
      <w:r w:rsidR="00994D1F" w:rsidRPr="002E0CD5">
        <w:rPr>
          <w:rFonts w:ascii="Times New Roman" w:hAnsi="Times New Roman" w:cs="Times New Roman"/>
          <w:sz w:val="24"/>
          <w:szCs w:val="24"/>
        </w:rPr>
        <w:t xml:space="preserve"> « retranchement de la propriété ». </w:t>
      </w:r>
      <w:r w:rsidR="002D7232" w:rsidRPr="002E0CD5">
        <w:rPr>
          <w:rFonts w:ascii="Times New Roman" w:hAnsi="Times New Roman" w:cs="Times New Roman"/>
          <w:sz w:val="24"/>
          <w:szCs w:val="24"/>
        </w:rPr>
        <w:t xml:space="preserve">Cela est manifeste dans la pensée de Hayek. </w:t>
      </w:r>
      <w:r w:rsidR="00C44B4C" w:rsidRPr="002E0CD5">
        <w:rPr>
          <w:rFonts w:ascii="Times New Roman" w:hAnsi="Times New Roman" w:cs="Times New Roman"/>
          <w:sz w:val="24"/>
          <w:szCs w:val="24"/>
        </w:rPr>
        <w:t xml:space="preserve">Selon ce dernier, </w:t>
      </w:r>
      <w:r w:rsidR="00E97289" w:rsidRPr="002E0CD5">
        <w:rPr>
          <w:rFonts w:ascii="Times New Roman" w:hAnsi="Times New Roman" w:cs="Times New Roman"/>
          <w:sz w:val="24"/>
          <w:szCs w:val="24"/>
        </w:rPr>
        <w:t>il faut revoir entièrement la manière de déterminer l</w:t>
      </w:r>
      <w:r w:rsidR="00DF7FF5" w:rsidRPr="002E0CD5">
        <w:rPr>
          <w:rFonts w:ascii="Times New Roman" w:hAnsi="Times New Roman" w:cs="Times New Roman"/>
          <w:sz w:val="24"/>
          <w:szCs w:val="24"/>
        </w:rPr>
        <w:t>es règles de fiscalité</w:t>
      </w:r>
      <w:r w:rsidR="00E97289" w:rsidRPr="002E0CD5">
        <w:rPr>
          <w:rFonts w:ascii="Times New Roman" w:hAnsi="Times New Roman" w:cs="Times New Roman"/>
          <w:sz w:val="24"/>
          <w:szCs w:val="24"/>
        </w:rPr>
        <w:t xml:space="preserve"> : si l’on part de la définition des besoins, il est </w:t>
      </w:r>
      <w:r w:rsidR="00DF7FF5" w:rsidRPr="002E0CD5">
        <w:rPr>
          <w:rFonts w:ascii="Times New Roman" w:hAnsi="Times New Roman" w:cs="Times New Roman"/>
          <w:sz w:val="24"/>
          <w:szCs w:val="24"/>
        </w:rPr>
        <w:t xml:space="preserve">en effet </w:t>
      </w:r>
      <w:r w:rsidR="00E97289" w:rsidRPr="002E0CD5">
        <w:rPr>
          <w:rFonts w:ascii="Times New Roman" w:hAnsi="Times New Roman" w:cs="Times New Roman"/>
          <w:sz w:val="24"/>
          <w:szCs w:val="24"/>
        </w:rPr>
        <w:t xml:space="preserve">inévitable que les services publics tendent à s’accroître indéfiniment puisqu’ils apparaissent comme les seuls moyens de satisfaire ces besoins. </w:t>
      </w:r>
      <w:r w:rsidR="00DF7FF5" w:rsidRPr="002E0CD5">
        <w:rPr>
          <w:rFonts w:ascii="Times New Roman" w:hAnsi="Times New Roman" w:cs="Times New Roman"/>
          <w:sz w:val="24"/>
          <w:szCs w:val="24"/>
        </w:rPr>
        <w:t>Il faut procéder à l’inverse</w:t>
      </w:r>
      <w:r w:rsidR="00577891" w:rsidRPr="002E0CD5">
        <w:rPr>
          <w:rFonts w:ascii="Times New Roman" w:hAnsi="Times New Roman" w:cs="Times New Roman"/>
          <w:sz w:val="24"/>
          <w:szCs w:val="24"/>
        </w:rPr>
        <w:t> : décider</w:t>
      </w:r>
      <w:r w:rsidR="00DF7FF5" w:rsidRPr="002E0CD5">
        <w:rPr>
          <w:rFonts w:ascii="Times New Roman" w:hAnsi="Times New Roman" w:cs="Times New Roman"/>
          <w:sz w:val="24"/>
          <w:szCs w:val="24"/>
        </w:rPr>
        <w:t xml:space="preserve"> préalablement du niveau des prélèvements fisc</w:t>
      </w:r>
      <w:r w:rsidR="00577891" w:rsidRPr="002E0CD5">
        <w:rPr>
          <w:rFonts w:ascii="Times New Roman" w:hAnsi="Times New Roman" w:cs="Times New Roman"/>
          <w:sz w:val="24"/>
          <w:szCs w:val="24"/>
        </w:rPr>
        <w:t>aux et fixer en conséquence le volume du secteur public</w:t>
      </w:r>
      <w:r w:rsidR="00975E80" w:rsidRPr="002E0CD5">
        <w:rPr>
          <w:rStyle w:val="Appelnotedebasdep"/>
          <w:rFonts w:ascii="Times New Roman" w:hAnsi="Times New Roman" w:cs="Times New Roman"/>
          <w:sz w:val="24"/>
          <w:szCs w:val="24"/>
        </w:rPr>
        <w:footnoteReference w:id="9"/>
      </w:r>
      <w:r w:rsidR="00577891" w:rsidRPr="002E0CD5">
        <w:rPr>
          <w:rFonts w:ascii="Times New Roman" w:hAnsi="Times New Roman" w:cs="Times New Roman"/>
          <w:sz w:val="24"/>
          <w:szCs w:val="24"/>
        </w:rPr>
        <w:t>. Seule cette méthode permettra de combattre</w:t>
      </w:r>
      <w:r w:rsidR="006C53C1" w:rsidRPr="002E0CD5">
        <w:rPr>
          <w:rFonts w:ascii="Times New Roman" w:hAnsi="Times New Roman" w:cs="Times New Roman"/>
          <w:sz w:val="24"/>
          <w:szCs w:val="24"/>
        </w:rPr>
        <w:t xml:space="preserve"> l</w:t>
      </w:r>
      <w:r w:rsidR="00975E80" w:rsidRPr="002E0CD5">
        <w:rPr>
          <w:rFonts w:ascii="Times New Roman" w:hAnsi="Times New Roman" w:cs="Times New Roman"/>
          <w:sz w:val="24"/>
          <w:szCs w:val="24"/>
        </w:rPr>
        <w:t>a tendance à l’augmentation d</w:t>
      </w:r>
      <w:r w:rsidR="006C53C1" w:rsidRPr="002E0CD5">
        <w:rPr>
          <w:rFonts w:ascii="Times New Roman" w:hAnsi="Times New Roman" w:cs="Times New Roman"/>
          <w:sz w:val="24"/>
          <w:szCs w:val="24"/>
        </w:rPr>
        <w:t>es dépenses publiques</w:t>
      </w:r>
      <w:r w:rsidR="00577891" w:rsidRPr="002E0CD5">
        <w:rPr>
          <w:rFonts w:ascii="Times New Roman" w:hAnsi="Times New Roman" w:cs="Times New Roman"/>
          <w:sz w:val="24"/>
          <w:szCs w:val="24"/>
        </w:rPr>
        <w:t xml:space="preserve">. De ce point de vue, la progressivité de l’impôt sur le revenu constitue une violation </w:t>
      </w:r>
      <w:r w:rsidR="00975E80" w:rsidRPr="002E0CD5">
        <w:rPr>
          <w:rFonts w:ascii="Times New Roman" w:hAnsi="Times New Roman" w:cs="Times New Roman"/>
          <w:sz w:val="24"/>
          <w:szCs w:val="24"/>
        </w:rPr>
        <w:t xml:space="preserve">flagrante </w:t>
      </w:r>
      <w:r w:rsidR="00577891" w:rsidRPr="002E0CD5">
        <w:rPr>
          <w:rFonts w:ascii="Times New Roman" w:hAnsi="Times New Roman" w:cs="Times New Roman"/>
          <w:sz w:val="24"/>
          <w:szCs w:val="24"/>
        </w:rPr>
        <w:t>de la règle de</w:t>
      </w:r>
      <w:r w:rsidR="003E75C3" w:rsidRPr="002E0CD5">
        <w:rPr>
          <w:rFonts w:ascii="Times New Roman" w:hAnsi="Times New Roman" w:cs="Times New Roman"/>
          <w:sz w:val="24"/>
          <w:szCs w:val="24"/>
        </w:rPr>
        <w:t xml:space="preserve"> droit : elle </w:t>
      </w:r>
      <w:r w:rsidR="00A21862" w:rsidRPr="002E0CD5">
        <w:rPr>
          <w:rFonts w:ascii="Times New Roman" w:hAnsi="Times New Roman" w:cs="Times New Roman"/>
          <w:sz w:val="24"/>
          <w:szCs w:val="24"/>
        </w:rPr>
        <w:t xml:space="preserve">est un moyen de redistribution des revenus qui </w:t>
      </w:r>
      <w:r w:rsidR="003E75C3" w:rsidRPr="002E0CD5">
        <w:rPr>
          <w:rFonts w:ascii="Times New Roman" w:hAnsi="Times New Roman" w:cs="Times New Roman"/>
          <w:sz w:val="24"/>
          <w:szCs w:val="24"/>
        </w:rPr>
        <w:t>contredit l’un</w:t>
      </w:r>
      <w:r w:rsidR="00A21862" w:rsidRPr="002E0CD5">
        <w:rPr>
          <w:rFonts w:ascii="Times New Roman" w:hAnsi="Times New Roman" w:cs="Times New Roman"/>
          <w:sz w:val="24"/>
          <w:szCs w:val="24"/>
        </w:rPr>
        <w:t xml:space="preserve">iversalité formelle de </w:t>
      </w:r>
      <w:r w:rsidR="003E75C3" w:rsidRPr="002E0CD5">
        <w:rPr>
          <w:rFonts w:ascii="Times New Roman" w:hAnsi="Times New Roman" w:cs="Times New Roman"/>
          <w:sz w:val="24"/>
          <w:szCs w:val="24"/>
        </w:rPr>
        <w:t>cette règle. Pour parvenir à cet objectif, il faut retirer au gouvernement le pouvoir de</w:t>
      </w:r>
      <w:r w:rsidR="00975E80" w:rsidRPr="002E0CD5">
        <w:rPr>
          <w:rFonts w:ascii="Times New Roman" w:hAnsi="Times New Roman" w:cs="Times New Roman"/>
          <w:sz w:val="24"/>
          <w:szCs w:val="24"/>
        </w:rPr>
        <w:t xml:space="preserve"> déterminer le montant de l’impôt</w:t>
      </w:r>
      <w:r w:rsidR="003E75C3" w:rsidRPr="002E0CD5">
        <w:rPr>
          <w:rFonts w:ascii="Times New Roman" w:hAnsi="Times New Roman" w:cs="Times New Roman"/>
          <w:sz w:val="24"/>
          <w:szCs w:val="24"/>
        </w:rPr>
        <w:t xml:space="preserve"> et confier celui-ci à une assemblée législative indépendante soucieuse de </w:t>
      </w:r>
      <w:r w:rsidR="00B724D8" w:rsidRPr="002E0CD5">
        <w:rPr>
          <w:rFonts w:ascii="Times New Roman" w:hAnsi="Times New Roman" w:cs="Times New Roman"/>
          <w:sz w:val="24"/>
          <w:szCs w:val="24"/>
        </w:rPr>
        <w:t xml:space="preserve">faire </w:t>
      </w:r>
      <w:r w:rsidR="00A21862" w:rsidRPr="002E0CD5">
        <w:rPr>
          <w:rFonts w:ascii="Times New Roman" w:hAnsi="Times New Roman" w:cs="Times New Roman"/>
          <w:sz w:val="24"/>
          <w:szCs w:val="24"/>
        </w:rPr>
        <w:t>respecter les règles de droit</w:t>
      </w:r>
      <w:r w:rsidR="00B724D8" w:rsidRPr="002E0CD5">
        <w:rPr>
          <w:rFonts w:ascii="Times New Roman" w:hAnsi="Times New Roman" w:cs="Times New Roman"/>
          <w:sz w:val="24"/>
          <w:szCs w:val="24"/>
        </w:rPr>
        <w:t xml:space="preserve"> à tout gouvernement.</w:t>
      </w:r>
      <w:r w:rsidR="00A21862" w:rsidRPr="002E0CD5">
        <w:rPr>
          <w:rFonts w:ascii="Times New Roman" w:hAnsi="Times New Roman" w:cs="Times New Roman"/>
          <w:sz w:val="24"/>
          <w:szCs w:val="24"/>
        </w:rPr>
        <w:t xml:space="preserve"> De manière plus générale, c’est l’idée même de la justice sociale comme justice distributive qui est formellement récusée</w:t>
      </w:r>
      <w:r w:rsidR="00975E80" w:rsidRPr="002E0CD5">
        <w:rPr>
          <w:rFonts w:ascii="Times New Roman" w:hAnsi="Times New Roman" w:cs="Times New Roman"/>
          <w:sz w:val="24"/>
          <w:szCs w:val="24"/>
        </w:rPr>
        <w:t xml:space="preserve"> au nom de l’universalité de la règle de droit</w:t>
      </w:r>
      <w:r w:rsidR="00BF39DD">
        <w:rPr>
          <w:rFonts w:ascii="Times New Roman" w:hAnsi="Times New Roman" w:cs="Times New Roman"/>
          <w:sz w:val="24"/>
          <w:szCs w:val="24"/>
        </w:rPr>
        <w:t>.</w:t>
      </w:r>
      <w:r w:rsidR="008D2728">
        <w:rPr>
          <w:rFonts w:ascii="Times New Roman" w:hAnsi="Times New Roman" w:cs="Times New Roman"/>
          <w:sz w:val="24"/>
          <w:szCs w:val="24"/>
        </w:rPr>
        <w:t xml:space="preserve"> Sous ce rapport, les politiques fiscales néolibérales menées depuis 30 ans sont « hayekiennes », </w:t>
      </w:r>
      <w:r w:rsidR="00C40DC4">
        <w:rPr>
          <w:rFonts w:ascii="Times New Roman" w:hAnsi="Times New Roman" w:cs="Times New Roman"/>
          <w:sz w:val="24"/>
          <w:szCs w:val="24"/>
        </w:rPr>
        <w:t>moins par fidélité à une doctrine que</w:t>
      </w:r>
      <w:r w:rsidR="008D2728">
        <w:rPr>
          <w:rFonts w:ascii="Times New Roman" w:hAnsi="Times New Roman" w:cs="Times New Roman"/>
          <w:sz w:val="24"/>
          <w:szCs w:val="24"/>
        </w:rPr>
        <w:t xml:space="preserve"> par le chantage à la compétitivité et à la menace de la dette.</w:t>
      </w:r>
    </w:p>
    <w:p w:rsidR="0049382A" w:rsidRPr="002E0CD5" w:rsidRDefault="0049382A">
      <w:pPr>
        <w:rPr>
          <w:rFonts w:ascii="Times New Roman" w:hAnsi="Times New Roman" w:cs="Times New Roman"/>
          <w:b/>
          <w:sz w:val="24"/>
          <w:szCs w:val="24"/>
        </w:rPr>
      </w:pPr>
      <w:r w:rsidRPr="002E0CD5">
        <w:rPr>
          <w:rFonts w:ascii="Times New Roman" w:hAnsi="Times New Roman" w:cs="Times New Roman"/>
          <w:b/>
          <w:sz w:val="24"/>
          <w:szCs w:val="24"/>
        </w:rPr>
        <w:lastRenderedPageBreak/>
        <w:t>De la contribution comm</w:t>
      </w:r>
      <w:r w:rsidR="00492F58">
        <w:rPr>
          <w:rFonts w:ascii="Times New Roman" w:hAnsi="Times New Roman" w:cs="Times New Roman"/>
          <w:b/>
          <w:sz w:val="24"/>
          <w:szCs w:val="24"/>
        </w:rPr>
        <w:t>une à la participation commune</w:t>
      </w:r>
    </w:p>
    <w:p w:rsidR="00194C9E" w:rsidRPr="00E115C8" w:rsidRDefault="005F0578" w:rsidP="00E11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nous faut</w:t>
      </w:r>
      <w:r w:rsidR="002E0CD5" w:rsidRPr="002E0CD5">
        <w:rPr>
          <w:rFonts w:ascii="Times New Roman" w:hAnsi="Times New Roman" w:cs="Times New Roman"/>
          <w:sz w:val="24"/>
          <w:szCs w:val="24"/>
        </w:rPr>
        <w:t xml:space="preserve"> reprendre</w:t>
      </w:r>
      <w:r>
        <w:rPr>
          <w:rFonts w:ascii="Times New Roman" w:hAnsi="Times New Roman" w:cs="Times New Roman"/>
          <w:sz w:val="24"/>
          <w:szCs w:val="24"/>
        </w:rPr>
        <w:t xml:space="preserve"> le fil de la réflexion de l’Assemblée nationale</w:t>
      </w:r>
      <w:r w:rsidR="00C40DC4">
        <w:rPr>
          <w:rFonts w:ascii="Times New Roman" w:hAnsi="Times New Roman" w:cs="Times New Roman"/>
          <w:sz w:val="24"/>
          <w:szCs w:val="24"/>
        </w:rPr>
        <w:t xml:space="preserve"> sur </w:t>
      </w:r>
      <w:r w:rsidR="00E115C8">
        <w:rPr>
          <w:rFonts w:ascii="Times New Roman" w:hAnsi="Times New Roman" w:cs="Times New Roman"/>
          <w:sz w:val="24"/>
          <w:szCs w:val="24"/>
        </w:rPr>
        <w:t>l’idée de « contribution com</w:t>
      </w:r>
      <w:r w:rsidR="00C40DC4">
        <w:rPr>
          <w:rFonts w:ascii="Times New Roman" w:hAnsi="Times New Roman" w:cs="Times New Roman"/>
          <w:sz w:val="24"/>
          <w:szCs w:val="24"/>
        </w:rPr>
        <w:t>mune »</w:t>
      </w:r>
      <w:r w:rsidR="00E115C8">
        <w:rPr>
          <w:rFonts w:ascii="Times New Roman" w:hAnsi="Times New Roman" w:cs="Times New Roman"/>
          <w:sz w:val="24"/>
          <w:szCs w:val="24"/>
        </w:rPr>
        <w:t xml:space="preserve">. </w:t>
      </w:r>
      <w:r w:rsidR="00F27236">
        <w:rPr>
          <w:rFonts w:ascii="Times New Roman" w:hAnsi="Times New Roman" w:cs="Times New Roman"/>
          <w:sz w:val="24"/>
          <w:szCs w:val="24"/>
        </w:rPr>
        <w:t>Mais il faut tirer toutes les conséquences du fait que l’impôt est un commun : ce commun doit procéder de la participation directe et du contrôle actif de tous les citoyens. Il ne peut donc être laissé à la discrétion des gouvernants</w:t>
      </w:r>
      <w:r w:rsidR="001E4A0B">
        <w:rPr>
          <w:rFonts w:ascii="Times New Roman" w:hAnsi="Times New Roman" w:cs="Times New Roman"/>
          <w:sz w:val="24"/>
          <w:szCs w:val="24"/>
        </w:rPr>
        <w:t>, non plus qu’à celle de représentants</w:t>
      </w:r>
      <w:r w:rsidR="00354086">
        <w:rPr>
          <w:rFonts w:ascii="Times New Roman" w:hAnsi="Times New Roman" w:cs="Times New Roman"/>
          <w:sz w:val="24"/>
          <w:szCs w:val="24"/>
        </w:rPr>
        <w:t xml:space="preserve"> législatifs</w:t>
      </w:r>
      <w:r w:rsidR="00F27236">
        <w:rPr>
          <w:rFonts w:ascii="Times New Roman" w:hAnsi="Times New Roman" w:cs="Times New Roman"/>
          <w:sz w:val="24"/>
          <w:szCs w:val="24"/>
        </w:rPr>
        <w:t xml:space="preserve">. </w:t>
      </w:r>
      <w:r w:rsidR="00CD7173">
        <w:rPr>
          <w:rFonts w:ascii="Times New Roman" w:hAnsi="Times New Roman" w:cs="Times New Roman"/>
          <w:sz w:val="24"/>
          <w:szCs w:val="24"/>
        </w:rPr>
        <w:t>Car c’est la représentation qui constitue ici l’obstacle, bien loin de garantir la légitimité. Il faut s</w:t>
      </w:r>
      <w:r w:rsidR="00E115C8">
        <w:rPr>
          <w:rFonts w:ascii="Times New Roman" w:hAnsi="Times New Roman" w:cs="Times New Roman"/>
          <w:sz w:val="24"/>
          <w:szCs w:val="24"/>
        </w:rPr>
        <w:t>ortir des formulat</w:t>
      </w:r>
      <w:r w:rsidR="00A64524">
        <w:rPr>
          <w:rFonts w:ascii="Times New Roman" w:hAnsi="Times New Roman" w:cs="Times New Roman"/>
          <w:sz w:val="24"/>
          <w:szCs w:val="24"/>
        </w:rPr>
        <w:t xml:space="preserve">ions équivoques </w:t>
      </w:r>
      <w:r w:rsidR="00E115C8">
        <w:rPr>
          <w:rFonts w:ascii="Times New Roman" w:hAnsi="Times New Roman" w:cs="Times New Roman"/>
          <w:sz w:val="24"/>
          <w:szCs w:val="24"/>
        </w:rPr>
        <w:t>de la Déclaration</w:t>
      </w:r>
      <w:r w:rsidR="00CD7173">
        <w:rPr>
          <w:rFonts w:ascii="Times New Roman" w:hAnsi="Times New Roman" w:cs="Times New Roman"/>
          <w:sz w:val="24"/>
          <w:szCs w:val="24"/>
        </w:rPr>
        <w:t xml:space="preserve"> </w:t>
      </w:r>
      <w:r w:rsidR="00A64524">
        <w:rPr>
          <w:rFonts w:ascii="Times New Roman" w:hAnsi="Times New Roman" w:cs="Times New Roman"/>
          <w:sz w:val="24"/>
          <w:szCs w:val="24"/>
        </w:rPr>
        <w:t xml:space="preserve">de 1789 </w:t>
      </w:r>
      <w:r w:rsidR="00CD7173">
        <w:rPr>
          <w:rFonts w:ascii="Times New Roman" w:hAnsi="Times New Roman" w:cs="Times New Roman"/>
          <w:sz w:val="24"/>
          <w:szCs w:val="24"/>
        </w:rPr>
        <w:t xml:space="preserve">et affirmer avec l’article </w:t>
      </w:r>
      <w:r w:rsidR="00F721DB">
        <w:rPr>
          <w:rFonts w:ascii="Times New Roman" w:hAnsi="Times New Roman" w:cs="Times New Roman"/>
          <w:sz w:val="24"/>
          <w:szCs w:val="24"/>
        </w:rPr>
        <w:t>20</w:t>
      </w:r>
      <w:r w:rsidR="00A64524">
        <w:rPr>
          <w:rFonts w:ascii="Times New Roman" w:hAnsi="Times New Roman" w:cs="Times New Roman"/>
          <w:sz w:val="24"/>
          <w:szCs w:val="24"/>
        </w:rPr>
        <w:t xml:space="preserve"> de l’Acte constitutionnel de</w:t>
      </w:r>
      <w:r w:rsidR="00F721DB">
        <w:rPr>
          <w:rFonts w:ascii="Times New Roman" w:hAnsi="Times New Roman" w:cs="Times New Roman"/>
          <w:sz w:val="24"/>
          <w:szCs w:val="24"/>
        </w:rPr>
        <w:t xml:space="preserve"> juin 1793 : « Tous les citoyens ont le droit de concourir à l’établissement des contributions, d’en surveiller l’emploi, et de s’en faire rendre compte. </w:t>
      </w:r>
      <w:r w:rsidR="00F721DB">
        <w:rPr>
          <w:rStyle w:val="Appelnotedebasdep"/>
          <w:rFonts w:ascii="Times New Roman" w:hAnsi="Times New Roman" w:cs="Times New Roman"/>
          <w:sz w:val="24"/>
          <w:szCs w:val="24"/>
        </w:rPr>
        <w:footnoteReference w:id="10"/>
      </w:r>
      <w:r w:rsidR="00F721DB">
        <w:rPr>
          <w:rFonts w:ascii="Times New Roman" w:hAnsi="Times New Roman" w:cs="Times New Roman"/>
          <w:sz w:val="24"/>
          <w:szCs w:val="24"/>
        </w:rPr>
        <w:t>»</w:t>
      </w:r>
      <w:r w:rsidR="00022D09">
        <w:rPr>
          <w:rFonts w:ascii="Times New Roman" w:hAnsi="Times New Roman" w:cs="Times New Roman"/>
          <w:sz w:val="24"/>
          <w:szCs w:val="24"/>
        </w:rPr>
        <w:t xml:space="preserve"> Il n’</w:t>
      </w:r>
      <w:r w:rsidR="00C40DC4">
        <w:rPr>
          <w:rFonts w:ascii="Times New Roman" w:hAnsi="Times New Roman" w:cs="Times New Roman"/>
          <w:sz w:val="24"/>
          <w:szCs w:val="24"/>
        </w:rPr>
        <w:t xml:space="preserve">y </w:t>
      </w:r>
      <w:r w:rsidR="00022D09">
        <w:rPr>
          <w:rFonts w:ascii="Times New Roman" w:hAnsi="Times New Roman" w:cs="Times New Roman"/>
          <w:sz w:val="24"/>
          <w:szCs w:val="24"/>
        </w:rPr>
        <w:t xml:space="preserve">est plus question de l’alternative « personnellement ou par des représentants » qui figurait </w:t>
      </w:r>
      <w:r w:rsidR="00A64524">
        <w:rPr>
          <w:rFonts w:ascii="Times New Roman" w:hAnsi="Times New Roman" w:cs="Times New Roman"/>
          <w:sz w:val="24"/>
          <w:szCs w:val="24"/>
        </w:rPr>
        <w:t>encore dans la Declaration de</w:t>
      </w:r>
      <w:r w:rsidR="00022D09">
        <w:rPr>
          <w:rFonts w:ascii="Times New Roman" w:hAnsi="Times New Roman" w:cs="Times New Roman"/>
          <w:sz w:val="24"/>
          <w:szCs w:val="24"/>
        </w:rPr>
        <w:t xml:space="preserve"> mai 1793. On peut donc </w:t>
      </w:r>
      <w:r w:rsidR="00AC65D4">
        <w:rPr>
          <w:rFonts w:ascii="Times New Roman" w:hAnsi="Times New Roman" w:cs="Times New Roman"/>
          <w:sz w:val="24"/>
          <w:szCs w:val="24"/>
        </w:rPr>
        <w:t>entendre</w:t>
      </w:r>
      <w:r w:rsidR="00022D09">
        <w:rPr>
          <w:rFonts w:ascii="Times New Roman" w:hAnsi="Times New Roman" w:cs="Times New Roman"/>
          <w:sz w:val="24"/>
          <w:szCs w:val="24"/>
        </w:rPr>
        <w:t xml:space="preserve"> un droit de concourir directement et personnellement</w:t>
      </w:r>
      <w:r w:rsidR="00AC65D4">
        <w:rPr>
          <w:rFonts w:ascii="Times New Roman" w:hAnsi="Times New Roman" w:cs="Times New Roman"/>
          <w:sz w:val="24"/>
          <w:szCs w:val="24"/>
        </w:rPr>
        <w:t xml:space="preserve">, droit qui doit valoir tant pour la formation de la loi que pour la répartition de l’impôt. </w:t>
      </w:r>
      <w:r w:rsidR="00B73405">
        <w:rPr>
          <w:rFonts w:ascii="Times New Roman" w:hAnsi="Times New Roman" w:cs="Times New Roman"/>
          <w:sz w:val="24"/>
          <w:szCs w:val="24"/>
        </w:rPr>
        <w:t xml:space="preserve">De ce point de vue il faut renverser la démarche de Hayek. </w:t>
      </w:r>
      <w:r w:rsidR="0041781F">
        <w:rPr>
          <w:rFonts w:ascii="Times New Roman" w:hAnsi="Times New Roman" w:cs="Times New Roman"/>
          <w:sz w:val="24"/>
          <w:szCs w:val="24"/>
        </w:rPr>
        <w:t xml:space="preserve">La priorité est </w:t>
      </w:r>
      <w:r w:rsidR="001E4A0B">
        <w:rPr>
          <w:rFonts w:ascii="Times New Roman" w:hAnsi="Times New Roman" w:cs="Times New Roman"/>
          <w:sz w:val="24"/>
          <w:szCs w:val="24"/>
        </w:rPr>
        <w:t xml:space="preserve">bien </w:t>
      </w:r>
      <w:r w:rsidR="0041781F">
        <w:rPr>
          <w:rFonts w:ascii="Times New Roman" w:hAnsi="Times New Roman" w:cs="Times New Roman"/>
          <w:sz w:val="24"/>
          <w:szCs w:val="24"/>
        </w:rPr>
        <w:t xml:space="preserve">de partir des besoins effectifs pour décider </w:t>
      </w:r>
      <w:r w:rsidR="000E51DC">
        <w:rPr>
          <w:rFonts w:ascii="Times New Roman" w:hAnsi="Times New Roman" w:cs="Times New Roman"/>
          <w:sz w:val="24"/>
          <w:szCs w:val="24"/>
        </w:rPr>
        <w:t xml:space="preserve">de l’étendue </w:t>
      </w:r>
      <w:r w:rsidR="0041781F">
        <w:rPr>
          <w:rFonts w:ascii="Times New Roman" w:hAnsi="Times New Roman" w:cs="Times New Roman"/>
          <w:sz w:val="24"/>
          <w:szCs w:val="24"/>
        </w:rPr>
        <w:t>des services publics, lesquels relèvent d’une obligation de l’Etat à l’égard des citoyens et non d’une prérogative souveraine</w:t>
      </w:r>
      <w:r w:rsidR="0041781F">
        <w:rPr>
          <w:rStyle w:val="Appelnotedebasdep"/>
          <w:rFonts w:ascii="Times New Roman" w:hAnsi="Times New Roman" w:cs="Times New Roman"/>
          <w:sz w:val="24"/>
          <w:szCs w:val="24"/>
        </w:rPr>
        <w:footnoteReference w:id="11"/>
      </w:r>
      <w:r w:rsidR="0041781F">
        <w:rPr>
          <w:rFonts w:ascii="Times New Roman" w:hAnsi="Times New Roman" w:cs="Times New Roman"/>
          <w:sz w:val="24"/>
          <w:szCs w:val="24"/>
        </w:rPr>
        <w:t xml:space="preserve">. </w:t>
      </w:r>
      <w:r w:rsidR="00354086">
        <w:rPr>
          <w:rFonts w:ascii="Times New Roman" w:hAnsi="Times New Roman" w:cs="Times New Roman"/>
          <w:sz w:val="24"/>
          <w:szCs w:val="24"/>
        </w:rPr>
        <w:t>On peut donc imaginer des Conférences de citoyens qui, de l’échelon le plus</w:t>
      </w:r>
      <w:r w:rsidR="001B558A">
        <w:rPr>
          <w:rFonts w:ascii="Times New Roman" w:hAnsi="Times New Roman" w:cs="Times New Roman"/>
          <w:sz w:val="24"/>
          <w:szCs w:val="24"/>
        </w:rPr>
        <w:t xml:space="preserve"> local à l’échelon national, moyennant un arbitrage démocratique rendu à chaque échelon, décideront des besoins et du montant total des contributions</w:t>
      </w:r>
      <w:r w:rsidR="00ED0233">
        <w:rPr>
          <w:rFonts w:ascii="Times New Roman" w:hAnsi="Times New Roman" w:cs="Times New Roman"/>
          <w:sz w:val="24"/>
          <w:szCs w:val="24"/>
        </w:rPr>
        <w:t xml:space="preserve"> destinées à financer les services publics</w:t>
      </w:r>
      <w:r w:rsidR="001B558A">
        <w:rPr>
          <w:rFonts w:ascii="Times New Roman" w:hAnsi="Times New Roman" w:cs="Times New Roman"/>
          <w:sz w:val="24"/>
          <w:szCs w:val="24"/>
        </w:rPr>
        <w:t>. Car</w:t>
      </w:r>
      <w:r w:rsidR="00B47141">
        <w:rPr>
          <w:rFonts w:ascii="Times New Roman" w:hAnsi="Times New Roman" w:cs="Times New Roman"/>
          <w:sz w:val="24"/>
          <w:szCs w:val="24"/>
        </w:rPr>
        <w:t>,</w:t>
      </w:r>
      <w:r w:rsidR="001B558A">
        <w:rPr>
          <w:rFonts w:ascii="Times New Roman" w:hAnsi="Times New Roman" w:cs="Times New Roman"/>
          <w:sz w:val="24"/>
          <w:szCs w:val="24"/>
        </w:rPr>
        <w:t xml:space="preserve"> il y a lieu d’y insister, ce</w:t>
      </w:r>
      <w:r w:rsidR="00354086">
        <w:rPr>
          <w:rFonts w:ascii="Times New Roman" w:hAnsi="Times New Roman" w:cs="Times New Roman"/>
          <w:sz w:val="24"/>
          <w:szCs w:val="24"/>
        </w:rPr>
        <w:t xml:space="preserve"> n’est pas le </w:t>
      </w:r>
      <w:r w:rsidR="002D6E32">
        <w:rPr>
          <w:rFonts w:ascii="Times New Roman" w:hAnsi="Times New Roman" w:cs="Times New Roman"/>
          <w:sz w:val="24"/>
          <w:szCs w:val="24"/>
        </w:rPr>
        <w:t xml:space="preserve">seul </w:t>
      </w:r>
      <w:r w:rsidR="00354086">
        <w:rPr>
          <w:rFonts w:ascii="Times New Roman" w:hAnsi="Times New Roman" w:cs="Times New Roman"/>
          <w:sz w:val="24"/>
          <w:szCs w:val="24"/>
        </w:rPr>
        <w:t>paiement de l’</w:t>
      </w:r>
      <w:r w:rsidR="00B47141">
        <w:rPr>
          <w:rFonts w:ascii="Times New Roman" w:hAnsi="Times New Roman" w:cs="Times New Roman"/>
          <w:sz w:val="24"/>
          <w:szCs w:val="24"/>
        </w:rPr>
        <w:t>impôt qui fait le citoyen, mais</w:t>
      </w:r>
      <w:r w:rsidR="00354086">
        <w:rPr>
          <w:rFonts w:ascii="Times New Roman" w:hAnsi="Times New Roman" w:cs="Times New Roman"/>
          <w:sz w:val="24"/>
          <w:szCs w:val="24"/>
        </w:rPr>
        <w:t xml:space="preserve"> la participation directe à son </w:t>
      </w:r>
      <w:r w:rsidR="001B558A">
        <w:rPr>
          <w:rFonts w:ascii="Times New Roman" w:hAnsi="Times New Roman" w:cs="Times New Roman"/>
          <w:sz w:val="24"/>
          <w:szCs w:val="24"/>
        </w:rPr>
        <w:t xml:space="preserve">établissement et à </w:t>
      </w:r>
      <w:r w:rsidR="002D6E32">
        <w:rPr>
          <w:rFonts w:ascii="Times New Roman" w:hAnsi="Times New Roman" w:cs="Times New Roman"/>
          <w:sz w:val="24"/>
          <w:szCs w:val="24"/>
        </w:rPr>
        <w:t xml:space="preserve">sa </w:t>
      </w:r>
      <w:r w:rsidR="001B558A">
        <w:rPr>
          <w:rFonts w:ascii="Times New Roman" w:hAnsi="Times New Roman" w:cs="Times New Roman"/>
          <w:sz w:val="24"/>
          <w:szCs w:val="24"/>
        </w:rPr>
        <w:t>répartition</w:t>
      </w:r>
      <w:r w:rsidR="00A64524">
        <w:rPr>
          <w:rFonts w:ascii="Times New Roman" w:hAnsi="Times New Roman" w:cs="Times New Roman"/>
          <w:sz w:val="24"/>
          <w:szCs w:val="24"/>
        </w:rPr>
        <w:t>, au contrôle de son recouvrement et de son affectation</w:t>
      </w:r>
      <w:r w:rsidR="001B558A">
        <w:rPr>
          <w:rFonts w:ascii="Times New Roman" w:hAnsi="Times New Roman" w:cs="Times New Roman"/>
          <w:sz w:val="24"/>
          <w:szCs w:val="24"/>
        </w:rPr>
        <w:t>. L</w:t>
      </w:r>
      <w:r w:rsidR="00B73405">
        <w:rPr>
          <w:rFonts w:ascii="Times New Roman" w:hAnsi="Times New Roman" w:cs="Times New Roman"/>
          <w:sz w:val="24"/>
          <w:szCs w:val="24"/>
        </w:rPr>
        <w:t xml:space="preserve">a révolution </w:t>
      </w:r>
      <w:r w:rsidR="00354086">
        <w:rPr>
          <w:rFonts w:ascii="Times New Roman" w:hAnsi="Times New Roman" w:cs="Times New Roman"/>
          <w:sz w:val="24"/>
          <w:szCs w:val="24"/>
        </w:rPr>
        <w:t>à venir</w:t>
      </w:r>
      <w:r w:rsidR="00B73405">
        <w:rPr>
          <w:rFonts w:ascii="Times New Roman" w:hAnsi="Times New Roman" w:cs="Times New Roman"/>
          <w:sz w:val="24"/>
          <w:szCs w:val="24"/>
        </w:rPr>
        <w:t xml:space="preserve"> </w:t>
      </w:r>
      <w:r w:rsidR="00ED0233">
        <w:rPr>
          <w:rFonts w:ascii="Times New Roman" w:hAnsi="Times New Roman" w:cs="Times New Roman"/>
          <w:sz w:val="24"/>
          <w:szCs w:val="24"/>
        </w:rPr>
        <w:t xml:space="preserve">ne </w:t>
      </w:r>
      <w:r w:rsidR="001B558A">
        <w:rPr>
          <w:rFonts w:ascii="Times New Roman" w:hAnsi="Times New Roman" w:cs="Times New Roman"/>
          <w:sz w:val="24"/>
          <w:szCs w:val="24"/>
        </w:rPr>
        <w:t>proclamera</w:t>
      </w:r>
      <w:r w:rsidR="00ED0233">
        <w:rPr>
          <w:rFonts w:ascii="Times New Roman" w:hAnsi="Times New Roman" w:cs="Times New Roman"/>
          <w:sz w:val="24"/>
          <w:szCs w:val="24"/>
        </w:rPr>
        <w:t xml:space="preserve"> pas </w:t>
      </w:r>
      <w:r w:rsidR="00ED0233" w:rsidRPr="00ED0233">
        <w:rPr>
          <w:rFonts w:ascii="Times New Roman" w:hAnsi="Times New Roman" w:cs="Times New Roman"/>
          <w:i/>
          <w:sz w:val="24"/>
          <w:szCs w:val="24"/>
        </w:rPr>
        <w:t>No taxation without representation</w:t>
      </w:r>
      <w:r w:rsidR="00ED0233">
        <w:rPr>
          <w:rFonts w:ascii="Times New Roman" w:hAnsi="Times New Roman" w:cs="Times New Roman"/>
          <w:sz w:val="24"/>
          <w:szCs w:val="24"/>
        </w:rPr>
        <w:t>, mais</w:t>
      </w:r>
      <w:r w:rsidR="00B73405">
        <w:rPr>
          <w:rFonts w:ascii="Times New Roman" w:hAnsi="Times New Roman" w:cs="Times New Roman"/>
          <w:sz w:val="24"/>
          <w:szCs w:val="24"/>
        </w:rPr>
        <w:t xml:space="preserve"> « Pas de contribution commune sans participation commune. »</w:t>
      </w:r>
    </w:p>
    <w:sectPr w:rsidR="00194C9E" w:rsidRPr="00E115C8" w:rsidSect="00E663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EB" w:rsidRDefault="00D835EB" w:rsidP="00A7445C">
      <w:pPr>
        <w:spacing w:after="0" w:line="240" w:lineRule="auto"/>
      </w:pPr>
      <w:r>
        <w:separator/>
      </w:r>
    </w:p>
  </w:endnote>
  <w:endnote w:type="continuationSeparator" w:id="0">
    <w:p w:rsidR="00D835EB" w:rsidRDefault="00D835EB" w:rsidP="00A7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3698"/>
      <w:docPartObj>
        <w:docPartGallery w:val="Page Numbers (Bottom of Page)"/>
        <w:docPartUnique/>
      </w:docPartObj>
    </w:sdtPr>
    <w:sdtContent>
      <w:p w:rsidR="00354086" w:rsidRDefault="00436385">
        <w:pPr>
          <w:pStyle w:val="Pieddepage"/>
          <w:jc w:val="right"/>
        </w:pPr>
        <w:fldSimple w:instr=" PAGE   \* MERGEFORMAT ">
          <w:r w:rsidR="00C40DC4">
            <w:rPr>
              <w:noProof/>
            </w:rPr>
            <w:t>1</w:t>
          </w:r>
        </w:fldSimple>
      </w:p>
    </w:sdtContent>
  </w:sdt>
  <w:p w:rsidR="00354086" w:rsidRDefault="003540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EB" w:rsidRDefault="00D835EB" w:rsidP="00A7445C">
      <w:pPr>
        <w:spacing w:after="0" w:line="240" w:lineRule="auto"/>
      </w:pPr>
      <w:r>
        <w:separator/>
      </w:r>
    </w:p>
  </w:footnote>
  <w:footnote w:type="continuationSeparator" w:id="0">
    <w:p w:rsidR="00D835EB" w:rsidRDefault="00D835EB" w:rsidP="00A7445C">
      <w:pPr>
        <w:spacing w:after="0" w:line="240" w:lineRule="auto"/>
      </w:pPr>
      <w:r>
        <w:continuationSeparator/>
      </w:r>
    </w:p>
  </w:footnote>
  <w:footnote w:id="1">
    <w:p w:rsidR="00354086" w:rsidRPr="009E6C49" w:rsidRDefault="00354086">
      <w:pPr>
        <w:pStyle w:val="Notedebasdepage"/>
        <w:rPr>
          <w:rFonts w:ascii="Times New Roman" w:hAnsi="Times New Roman" w:cs="Times New Roman"/>
        </w:rPr>
      </w:pPr>
      <w:r w:rsidRPr="009E6C49">
        <w:rPr>
          <w:rStyle w:val="Appelnotedebasdep"/>
          <w:rFonts w:ascii="Times New Roman" w:hAnsi="Times New Roman" w:cs="Times New Roman"/>
        </w:rPr>
        <w:footnoteRef/>
      </w:r>
      <w:r w:rsidRPr="009E6C49">
        <w:rPr>
          <w:rFonts w:ascii="Times New Roman" w:hAnsi="Times New Roman" w:cs="Times New Roman"/>
        </w:rPr>
        <w:t xml:space="preserve"> Cité par Jean-Fabien Spitz, in Locke, </w:t>
      </w:r>
      <w:r w:rsidRPr="009E6C49">
        <w:rPr>
          <w:rFonts w:ascii="Times New Roman" w:hAnsi="Times New Roman" w:cs="Times New Roman"/>
          <w:i/>
        </w:rPr>
        <w:t>Le second traité du gouvernement,</w:t>
      </w:r>
      <w:r w:rsidRPr="009E6C49">
        <w:rPr>
          <w:rFonts w:ascii="Times New Roman" w:hAnsi="Times New Roman" w:cs="Times New Roman"/>
        </w:rPr>
        <w:t xml:space="preserve"> puf, 2003, note 439, p. 235.</w:t>
      </w:r>
    </w:p>
  </w:footnote>
  <w:footnote w:id="2">
    <w:p w:rsidR="00354086" w:rsidRPr="00DC4D7E" w:rsidRDefault="00354086">
      <w:pPr>
        <w:pStyle w:val="Notedebasdepage"/>
        <w:rPr>
          <w:rFonts w:ascii="Times New Roman" w:hAnsi="Times New Roman" w:cs="Times New Roman"/>
        </w:rPr>
      </w:pPr>
      <w:r w:rsidRPr="00DC4D7E">
        <w:rPr>
          <w:rStyle w:val="Appelnotedebasde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D6E32">
        <w:rPr>
          <w:rFonts w:ascii="Times New Roman" w:hAnsi="Times New Roman" w:cs="Times New Roman"/>
          <w:i/>
        </w:rPr>
        <w:t>Ibid.</w:t>
      </w:r>
      <w:r>
        <w:rPr>
          <w:rFonts w:ascii="Times New Roman" w:hAnsi="Times New Roman" w:cs="Times New Roman"/>
        </w:rPr>
        <w:t xml:space="preserve"> </w:t>
      </w:r>
      <w:r w:rsidRPr="00DC4D7E">
        <w:rPr>
          <w:rFonts w:ascii="Times New Roman" w:hAnsi="Times New Roman" w:cs="Times New Roman"/>
        </w:rPr>
        <w:t xml:space="preserve">p. 101 et 103. </w:t>
      </w:r>
    </w:p>
  </w:footnote>
  <w:footnote w:id="3">
    <w:p w:rsidR="00354086" w:rsidRPr="007A58E8" w:rsidRDefault="00354086">
      <w:pPr>
        <w:pStyle w:val="Notedebasdepage"/>
        <w:rPr>
          <w:rFonts w:ascii="Times New Roman" w:hAnsi="Times New Roman" w:cs="Times New Roman"/>
        </w:rPr>
      </w:pPr>
      <w:r w:rsidRPr="007A58E8">
        <w:rPr>
          <w:rStyle w:val="Appelnotedebasdep"/>
          <w:rFonts w:ascii="Times New Roman" w:hAnsi="Times New Roman" w:cs="Times New Roman"/>
        </w:rPr>
        <w:footnoteRef/>
      </w:r>
      <w:r w:rsidRPr="007A58E8">
        <w:rPr>
          <w:rFonts w:ascii="Times New Roman" w:hAnsi="Times New Roman" w:cs="Times New Roman"/>
        </w:rPr>
        <w:t xml:space="preserve"> Montesquieu, </w:t>
      </w:r>
      <w:r w:rsidRPr="0049382A">
        <w:rPr>
          <w:rFonts w:ascii="Times New Roman" w:hAnsi="Times New Roman" w:cs="Times New Roman"/>
          <w:i/>
        </w:rPr>
        <w:t>De L’esprit des lois</w:t>
      </w:r>
      <w:r w:rsidRPr="007A58E8">
        <w:rPr>
          <w:rFonts w:ascii="Times New Roman" w:hAnsi="Times New Roman" w:cs="Times New Roman"/>
        </w:rPr>
        <w:t>, Garnier,</w:t>
      </w:r>
      <w:r>
        <w:rPr>
          <w:rFonts w:ascii="Times New Roman" w:hAnsi="Times New Roman" w:cs="Times New Roman"/>
        </w:rPr>
        <w:t xml:space="preserve"> </w:t>
      </w:r>
      <w:r w:rsidRPr="007A58E8">
        <w:rPr>
          <w:rFonts w:ascii="Times New Roman" w:hAnsi="Times New Roman" w:cs="Times New Roman"/>
        </w:rPr>
        <w:t xml:space="preserve">1973, p. 238. </w:t>
      </w:r>
    </w:p>
  </w:footnote>
  <w:footnote w:id="4">
    <w:p w:rsidR="00354086" w:rsidRPr="005F0578" w:rsidRDefault="00354086">
      <w:pPr>
        <w:pStyle w:val="Notedebasdepage"/>
        <w:rPr>
          <w:rFonts w:ascii="Times New Roman" w:hAnsi="Times New Roman" w:cs="Times New Roman"/>
        </w:rPr>
      </w:pPr>
      <w:r w:rsidRPr="005F0578">
        <w:rPr>
          <w:rStyle w:val="Appelnotedebasdep"/>
          <w:rFonts w:ascii="Times New Roman" w:hAnsi="Times New Roman" w:cs="Times New Roman"/>
        </w:rPr>
        <w:footnoteRef/>
      </w:r>
      <w:r w:rsidRPr="005F0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Jaucourt, </w:t>
      </w:r>
      <w:r w:rsidRPr="005F0578">
        <w:rPr>
          <w:rFonts w:ascii="Times New Roman" w:hAnsi="Times New Roman" w:cs="Times New Roman"/>
        </w:rPr>
        <w:t>Article « Impôt » de l’</w:t>
      </w:r>
      <w:r w:rsidRPr="000E51DC">
        <w:rPr>
          <w:rFonts w:ascii="Times New Roman" w:hAnsi="Times New Roman" w:cs="Times New Roman"/>
          <w:i/>
        </w:rPr>
        <w:t>Encyclopédie</w:t>
      </w:r>
      <w:r w:rsidR="002D6E32">
        <w:rPr>
          <w:rFonts w:ascii="Times New Roman" w:hAnsi="Times New Roman" w:cs="Times New Roman"/>
        </w:rPr>
        <w:t>.</w:t>
      </w:r>
      <w:r w:rsidRPr="005F0578">
        <w:rPr>
          <w:rFonts w:ascii="Times New Roman" w:hAnsi="Times New Roman" w:cs="Times New Roman"/>
        </w:rPr>
        <w:t xml:space="preserve"> </w:t>
      </w:r>
    </w:p>
  </w:footnote>
  <w:footnote w:id="5">
    <w:p w:rsidR="00354086" w:rsidRPr="00CF3EFD" w:rsidRDefault="00354086">
      <w:pPr>
        <w:pStyle w:val="Notedebasdepage"/>
        <w:rPr>
          <w:rFonts w:ascii="Times New Roman" w:hAnsi="Times New Roman" w:cs="Times New Roman"/>
        </w:rPr>
      </w:pPr>
      <w:r w:rsidRPr="00CF3EFD">
        <w:rPr>
          <w:rStyle w:val="Appelnotedebasdep"/>
          <w:rFonts w:ascii="Times New Roman" w:hAnsi="Times New Roman" w:cs="Times New Roman"/>
        </w:rPr>
        <w:footnoteRef/>
      </w:r>
      <w:r w:rsidRPr="00CF3EFD">
        <w:rPr>
          <w:rFonts w:ascii="Times New Roman" w:hAnsi="Times New Roman" w:cs="Times New Roman"/>
        </w:rPr>
        <w:t xml:space="preserve"> Rousseau, </w:t>
      </w:r>
      <w:r w:rsidRPr="00CF3EFD">
        <w:rPr>
          <w:rFonts w:ascii="Times New Roman" w:hAnsi="Times New Roman" w:cs="Times New Roman"/>
          <w:i/>
        </w:rPr>
        <w:t>Economie politique 1755</w:t>
      </w:r>
      <w:r w:rsidRPr="00CF3EFD">
        <w:rPr>
          <w:rFonts w:ascii="Times New Roman" w:hAnsi="Times New Roman" w:cs="Times New Roman"/>
        </w:rPr>
        <w:t xml:space="preserve">, par Yves Vargas, puf, 1986, p. 112. </w:t>
      </w:r>
    </w:p>
  </w:footnote>
  <w:footnote w:id="6">
    <w:p w:rsidR="00354086" w:rsidRPr="00A7445C" w:rsidRDefault="00354086">
      <w:pPr>
        <w:pStyle w:val="Notedebasdepage"/>
        <w:rPr>
          <w:rFonts w:ascii="Times New Roman" w:hAnsi="Times New Roman" w:cs="Times New Roman"/>
        </w:rPr>
      </w:pPr>
      <w:r w:rsidRPr="00A7445C">
        <w:rPr>
          <w:rStyle w:val="Appelnotedebasde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Voir Marcel Gauchet, </w:t>
      </w:r>
      <w:r w:rsidRPr="00A7445C">
        <w:rPr>
          <w:rFonts w:ascii="Times New Roman" w:hAnsi="Times New Roman" w:cs="Times New Roman"/>
          <w:i/>
        </w:rPr>
        <w:t>La Révolution des droits de l’homme</w:t>
      </w:r>
      <w:r w:rsidRPr="00A7445C">
        <w:rPr>
          <w:rFonts w:ascii="Times New Roman" w:hAnsi="Times New Roman" w:cs="Times New Roman"/>
        </w:rPr>
        <w:t xml:space="preserve">, Gallimard, 1989, p. 178-183. </w:t>
      </w:r>
    </w:p>
  </w:footnote>
  <w:footnote w:id="7">
    <w:p w:rsidR="00354086" w:rsidRPr="00FA4AC8" w:rsidRDefault="00354086" w:rsidP="007A5F92">
      <w:pPr>
        <w:pStyle w:val="Notedebasdepage"/>
        <w:jc w:val="both"/>
        <w:rPr>
          <w:rFonts w:ascii="Times New Roman" w:hAnsi="Times New Roman" w:cs="Times New Roman"/>
        </w:rPr>
      </w:pPr>
      <w:r w:rsidRPr="00FA4AC8">
        <w:rPr>
          <w:rStyle w:val="Appelnotedebasdep"/>
          <w:rFonts w:ascii="Times New Roman" w:hAnsi="Times New Roman" w:cs="Times New Roman"/>
        </w:rPr>
        <w:footnoteRef/>
      </w:r>
      <w:r w:rsidRPr="00FA4AC8">
        <w:rPr>
          <w:rFonts w:ascii="Times New Roman" w:hAnsi="Times New Roman" w:cs="Times New Roman"/>
        </w:rPr>
        <w:t xml:space="preserve"> </w:t>
      </w:r>
      <w:r w:rsidRPr="00E8526A">
        <w:rPr>
          <w:rFonts w:ascii="Times New Roman" w:hAnsi="Times New Roman" w:cs="Times New Roman"/>
          <w:i/>
        </w:rPr>
        <w:t>Ibid</w:t>
      </w:r>
      <w:r w:rsidRPr="00FA4AC8">
        <w:rPr>
          <w:rFonts w:ascii="Times New Roman" w:hAnsi="Times New Roman" w:cs="Times New Roman"/>
        </w:rPr>
        <w:t xml:space="preserve">., p. 180. </w:t>
      </w:r>
      <w:r>
        <w:rPr>
          <w:rFonts w:ascii="Times New Roman" w:hAnsi="Times New Roman" w:cs="Times New Roman"/>
        </w:rPr>
        <w:t>Sieyès avait déjà dit que par l’impôt « chaque citoyen cède une portion de sa propriété pour le maintien de la chose publique. »</w:t>
      </w:r>
    </w:p>
  </w:footnote>
  <w:footnote w:id="8">
    <w:p w:rsidR="00354086" w:rsidRPr="00E8526A" w:rsidRDefault="00354086">
      <w:pPr>
        <w:pStyle w:val="Notedebasdepage"/>
        <w:rPr>
          <w:rFonts w:ascii="Times New Roman" w:hAnsi="Times New Roman" w:cs="Times New Roman"/>
        </w:rPr>
      </w:pPr>
      <w:r w:rsidRPr="00E8526A">
        <w:rPr>
          <w:rStyle w:val="Appelnotedebasdep"/>
          <w:rFonts w:ascii="Times New Roman" w:hAnsi="Times New Roman" w:cs="Times New Roman"/>
        </w:rPr>
        <w:footnoteRef/>
      </w:r>
      <w:r w:rsidRPr="00E8526A">
        <w:rPr>
          <w:rFonts w:ascii="Times New Roman" w:hAnsi="Times New Roman" w:cs="Times New Roman"/>
        </w:rPr>
        <w:t xml:space="preserve"> </w:t>
      </w:r>
      <w:r w:rsidRPr="00E8526A">
        <w:rPr>
          <w:rFonts w:ascii="Times New Roman" w:hAnsi="Times New Roman" w:cs="Times New Roman"/>
          <w:i/>
        </w:rPr>
        <w:t>Ibid</w:t>
      </w:r>
      <w:r w:rsidRPr="00E8526A">
        <w:rPr>
          <w:rFonts w:ascii="Times New Roman" w:hAnsi="Times New Roman" w:cs="Times New Roman"/>
        </w:rPr>
        <w:t>., p. 18</w:t>
      </w:r>
      <w:r w:rsidR="00E8526A" w:rsidRPr="00E8526A">
        <w:rPr>
          <w:rFonts w:ascii="Times New Roman" w:hAnsi="Times New Roman" w:cs="Times New Roman"/>
        </w:rPr>
        <w:t>0-18</w:t>
      </w:r>
      <w:r w:rsidRPr="00E8526A">
        <w:rPr>
          <w:rFonts w:ascii="Times New Roman" w:hAnsi="Times New Roman" w:cs="Times New Roman"/>
        </w:rPr>
        <w:t>1.</w:t>
      </w:r>
    </w:p>
  </w:footnote>
  <w:footnote w:id="9">
    <w:p w:rsidR="00354086" w:rsidRPr="005A5918" w:rsidRDefault="00354086">
      <w:pPr>
        <w:pStyle w:val="Notedebasdepage"/>
        <w:rPr>
          <w:rFonts w:ascii="Times New Roman" w:hAnsi="Times New Roman" w:cs="Times New Roman"/>
        </w:rPr>
      </w:pPr>
      <w:r w:rsidRPr="005A5918">
        <w:rPr>
          <w:rStyle w:val="Appelnotedebasdep"/>
          <w:rFonts w:ascii="Times New Roman" w:hAnsi="Times New Roman" w:cs="Times New Roman"/>
        </w:rPr>
        <w:footnoteRef/>
      </w:r>
      <w:r w:rsidRPr="005A5918">
        <w:rPr>
          <w:rFonts w:ascii="Times New Roman" w:hAnsi="Times New Roman" w:cs="Times New Roman"/>
        </w:rPr>
        <w:t xml:space="preserve"> Gilles Dostaler, </w:t>
      </w:r>
      <w:r w:rsidRPr="005A5918">
        <w:rPr>
          <w:rFonts w:ascii="Times New Roman" w:hAnsi="Times New Roman" w:cs="Times New Roman"/>
          <w:i/>
        </w:rPr>
        <w:t>Le libéralisme de Hayek</w:t>
      </w:r>
      <w:r w:rsidRPr="005A5918">
        <w:rPr>
          <w:rFonts w:ascii="Times New Roman" w:hAnsi="Times New Roman" w:cs="Times New Roman"/>
        </w:rPr>
        <w:t xml:space="preserve">, La </w:t>
      </w:r>
      <w:r>
        <w:rPr>
          <w:rFonts w:ascii="Times New Roman" w:hAnsi="Times New Roman" w:cs="Times New Roman"/>
        </w:rPr>
        <w:t>D</w:t>
      </w:r>
      <w:r w:rsidRPr="005A5918">
        <w:rPr>
          <w:rFonts w:ascii="Times New Roman" w:hAnsi="Times New Roman" w:cs="Times New Roman"/>
        </w:rPr>
        <w:t>écouverte, 2001, p. 77</w:t>
      </w:r>
      <w:r>
        <w:rPr>
          <w:rFonts w:ascii="Times New Roman" w:hAnsi="Times New Roman" w:cs="Times New Roman"/>
        </w:rPr>
        <w:t>.</w:t>
      </w:r>
    </w:p>
  </w:footnote>
  <w:footnote w:id="10">
    <w:p w:rsidR="00354086" w:rsidRPr="00F721DB" w:rsidRDefault="00354086">
      <w:pPr>
        <w:pStyle w:val="Notedebasdepage"/>
        <w:rPr>
          <w:rFonts w:ascii="Times New Roman" w:hAnsi="Times New Roman" w:cs="Times New Roman"/>
        </w:rPr>
      </w:pPr>
      <w:r w:rsidRPr="00F721DB">
        <w:rPr>
          <w:rStyle w:val="Appelnotedebasdep"/>
          <w:rFonts w:ascii="Times New Roman" w:hAnsi="Times New Roman" w:cs="Times New Roman"/>
        </w:rPr>
        <w:footnoteRef/>
      </w:r>
      <w:r w:rsidRPr="00F72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Cf. </w:t>
      </w:r>
      <w:r w:rsidRPr="00F721DB">
        <w:rPr>
          <w:rFonts w:ascii="Times New Roman" w:hAnsi="Times New Roman" w:cs="Times New Roman"/>
        </w:rPr>
        <w:t xml:space="preserve">Marcel Gauchet, </w:t>
      </w:r>
      <w:r w:rsidRPr="00F721DB">
        <w:rPr>
          <w:rFonts w:ascii="Times New Roman" w:hAnsi="Times New Roman" w:cs="Times New Roman"/>
          <w:i/>
        </w:rPr>
        <w:t>La Révolution des droits de l’homme</w:t>
      </w:r>
      <w:r w:rsidRPr="00F721DB">
        <w:rPr>
          <w:rFonts w:ascii="Times New Roman" w:hAnsi="Times New Roman" w:cs="Times New Roman"/>
        </w:rPr>
        <w:t xml:space="preserve">, </w:t>
      </w:r>
      <w:r w:rsidRPr="00F721DB">
        <w:rPr>
          <w:rFonts w:ascii="Times New Roman" w:hAnsi="Times New Roman" w:cs="Times New Roman"/>
          <w:i/>
        </w:rPr>
        <w:t>op.cit</w:t>
      </w:r>
      <w:r w:rsidRPr="00F721DB">
        <w:rPr>
          <w:rFonts w:ascii="Times New Roman" w:hAnsi="Times New Roman" w:cs="Times New Roman"/>
        </w:rPr>
        <w:t>., Annexe II, p. 333.</w:t>
      </w:r>
    </w:p>
  </w:footnote>
  <w:footnote w:id="11">
    <w:p w:rsidR="00354086" w:rsidRDefault="00354086">
      <w:pPr>
        <w:pStyle w:val="Notedebasdepage"/>
      </w:pPr>
      <w:r w:rsidRPr="000E51DC">
        <w:rPr>
          <w:rStyle w:val="Appelnotedebasdep"/>
          <w:rFonts w:ascii="Times New Roman" w:hAnsi="Times New Roman" w:cs="Times New Roman"/>
        </w:rPr>
        <w:footnoteRef/>
      </w:r>
      <w:r w:rsidRPr="000E51DC">
        <w:rPr>
          <w:rFonts w:ascii="Times New Roman" w:hAnsi="Times New Roman" w:cs="Times New Roman"/>
        </w:rPr>
        <w:t xml:space="preserve"> Comme l’avait bien vu Léon Duguit dans la 11</w:t>
      </w:r>
      <w:r w:rsidRPr="000E51DC">
        <w:rPr>
          <w:rFonts w:ascii="Times New Roman" w:hAnsi="Times New Roman" w:cs="Times New Roman"/>
          <w:vertAlign w:val="superscript"/>
        </w:rPr>
        <w:t>e</w:t>
      </w:r>
      <w:r w:rsidRPr="000E51DC">
        <w:rPr>
          <w:rFonts w:ascii="Times New Roman" w:hAnsi="Times New Roman" w:cs="Times New Roman"/>
        </w:rPr>
        <w:t xml:space="preserve"> Leçon de </w:t>
      </w:r>
      <w:r w:rsidRPr="000E51DC">
        <w:rPr>
          <w:rFonts w:ascii="Times New Roman" w:hAnsi="Times New Roman" w:cs="Times New Roman"/>
          <w:i/>
        </w:rPr>
        <w:t>Souveraineté et liberté</w:t>
      </w:r>
      <w:r w:rsidRPr="000E51DC">
        <w:rPr>
          <w:rFonts w:ascii="Times New Roman" w:hAnsi="Times New Roman" w:cs="Times New Roman"/>
        </w:rPr>
        <w:t>, 1920-1921, Félix Alcan</w:t>
      </w:r>
      <w: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45D"/>
    <w:rsid w:val="00022D09"/>
    <w:rsid w:val="00044C71"/>
    <w:rsid w:val="00055F38"/>
    <w:rsid w:val="00060B66"/>
    <w:rsid w:val="00082356"/>
    <w:rsid w:val="000E297E"/>
    <w:rsid w:val="000E51DC"/>
    <w:rsid w:val="0011434F"/>
    <w:rsid w:val="0011610B"/>
    <w:rsid w:val="00165E15"/>
    <w:rsid w:val="00194C9E"/>
    <w:rsid w:val="001962D6"/>
    <w:rsid w:val="001B558A"/>
    <w:rsid w:val="001E4A0B"/>
    <w:rsid w:val="001F1CAA"/>
    <w:rsid w:val="00215C5A"/>
    <w:rsid w:val="002433A0"/>
    <w:rsid w:val="0025645D"/>
    <w:rsid w:val="002D6E32"/>
    <w:rsid w:val="002D7232"/>
    <w:rsid w:val="002E0CD5"/>
    <w:rsid w:val="002E173D"/>
    <w:rsid w:val="003462E1"/>
    <w:rsid w:val="00354086"/>
    <w:rsid w:val="00365BA1"/>
    <w:rsid w:val="003C5FC6"/>
    <w:rsid w:val="003E75C3"/>
    <w:rsid w:val="0041781F"/>
    <w:rsid w:val="00436385"/>
    <w:rsid w:val="00453B5F"/>
    <w:rsid w:val="00492F58"/>
    <w:rsid w:val="0049382A"/>
    <w:rsid w:val="004A134B"/>
    <w:rsid w:val="004C58C3"/>
    <w:rsid w:val="004E016D"/>
    <w:rsid w:val="004F064C"/>
    <w:rsid w:val="00577891"/>
    <w:rsid w:val="005A5918"/>
    <w:rsid w:val="005B6229"/>
    <w:rsid w:val="005F0578"/>
    <w:rsid w:val="00604F87"/>
    <w:rsid w:val="0060732F"/>
    <w:rsid w:val="006236FD"/>
    <w:rsid w:val="00677C0E"/>
    <w:rsid w:val="006C53C1"/>
    <w:rsid w:val="006E5C74"/>
    <w:rsid w:val="007805F1"/>
    <w:rsid w:val="007A58E8"/>
    <w:rsid w:val="007A5F92"/>
    <w:rsid w:val="007F7168"/>
    <w:rsid w:val="008549CB"/>
    <w:rsid w:val="008C693E"/>
    <w:rsid w:val="008D2728"/>
    <w:rsid w:val="008D4122"/>
    <w:rsid w:val="009711F2"/>
    <w:rsid w:val="00975E80"/>
    <w:rsid w:val="00994D1F"/>
    <w:rsid w:val="00996FA6"/>
    <w:rsid w:val="009B42FC"/>
    <w:rsid w:val="009C14EC"/>
    <w:rsid w:val="009C2FE8"/>
    <w:rsid w:val="009E6C49"/>
    <w:rsid w:val="00A164E5"/>
    <w:rsid w:val="00A21862"/>
    <w:rsid w:val="00A44839"/>
    <w:rsid w:val="00A64524"/>
    <w:rsid w:val="00A66513"/>
    <w:rsid w:val="00A7445C"/>
    <w:rsid w:val="00A75DF2"/>
    <w:rsid w:val="00AC65D4"/>
    <w:rsid w:val="00B47141"/>
    <w:rsid w:val="00B724D8"/>
    <w:rsid w:val="00B73405"/>
    <w:rsid w:val="00B7516A"/>
    <w:rsid w:val="00BB028D"/>
    <w:rsid w:val="00BB298D"/>
    <w:rsid w:val="00BF39DD"/>
    <w:rsid w:val="00C27FF8"/>
    <w:rsid w:val="00C40DC4"/>
    <w:rsid w:val="00C44B4C"/>
    <w:rsid w:val="00CB7BB9"/>
    <w:rsid w:val="00CD7173"/>
    <w:rsid w:val="00CF3EFD"/>
    <w:rsid w:val="00D823F9"/>
    <w:rsid w:val="00D835EB"/>
    <w:rsid w:val="00DA4D4A"/>
    <w:rsid w:val="00DC4D7E"/>
    <w:rsid w:val="00DF7FF5"/>
    <w:rsid w:val="00E02873"/>
    <w:rsid w:val="00E115C8"/>
    <w:rsid w:val="00E64B6B"/>
    <w:rsid w:val="00E663C0"/>
    <w:rsid w:val="00E70157"/>
    <w:rsid w:val="00E76EF6"/>
    <w:rsid w:val="00E815D7"/>
    <w:rsid w:val="00E8526A"/>
    <w:rsid w:val="00E947B6"/>
    <w:rsid w:val="00E96DB9"/>
    <w:rsid w:val="00E97289"/>
    <w:rsid w:val="00EC7EB6"/>
    <w:rsid w:val="00ED0233"/>
    <w:rsid w:val="00F27236"/>
    <w:rsid w:val="00F63F0B"/>
    <w:rsid w:val="00F721DB"/>
    <w:rsid w:val="00F72AD2"/>
    <w:rsid w:val="00FA0C90"/>
    <w:rsid w:val="00FA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44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44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445C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11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610B"/>
  </w:style>
  <w:style w:type="paragraph" w:styleId="Pieddepage">
    <w:name w:val="footer"/>
    <w:basedOn w:val="Normal"/>
    <w:link w:val="PieddepageCar"/>
    <w:uiPriority w:val="99"/>
    <w:unhideWhenUsed/>
    <w:rsid w:val="0011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D694-F305-47CD-92E6-7C77DF4A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1622</Words>
  <Characters>8148</Characters>
  <Application>Microsoft Office Word</Application>
  <DocSecurity>0</DocSecurity>
  <Lines>113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23</cp:revision>
  <dcterms:created xsi:type="dcterms:W3CDTF">2017-06-23T12:09:00Z</dcterms:created>
  <dcterms:modified xsi:type="dcterms:W3CDTF">2017-06-25T16:41:00Z</dcterms:modified>
</cp:coreProperties>
</file>