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CE" w:rsidRDefault="005579CE" w:rsidP="005579CE">
      <w:pPr>
        <w:jc w:val="center"/>
        <w:rPr>
          <w:b/>
        </w:rPr>
      </w:pPr>
    </w:p>
    <w:p w:rsidR="00214BAB" w:rsidRDefault="00632630" w:rsidP="005579CE">
      <w:pPr>
        <w:jc w:val="center"/>
        <w:rPr>
          <w:b/>
        </w:rPr>
      </w:pPr>
      <w:r>
        <w:rPr>
          <w:b/>
        </w:rPr>
        <w:t>Au-delà de Foucault : d</w:t>
      </w:r>
      <w:r w:rsidR="00214BAB" w:rsidRPr="00214BAB">
        <w:rPr>
          <w:b/>
        </w:rPr>
        <w:t>e la résistance à l’émancipation</w:t>
      </w:r>
    </w:p>
    <w:p w:rsidR="005579CE" w:rsidRDefault="005579CE"/>
    <w:p w:rsidR="00822126" w:rsidRDefault="00624107">
      <w:r>
        <w:t xml:space="preserve">D’où vient que </w:t>
      </w:r>
      <w:r w:rsidR="00214BAB">
        <w:t>Foucault</w:t>
      </w:r>
      <w:r>
        <w:t xml:space="preserve"> ne soit pas un penseur</w:t>
      </w:r>
      <w:r w:rsidR="0072769A">
        <w:t xml:space="preserve"> de l’émancipation</w:t>
      </w:r>
      <w:r w:rsidR="00214BAB" w:rsidRPr="00214BAB">
        <w:t>?</w:t>
      </w:r>
      <w:r w:rsidR="004A3460">
        <w:t xml:space="preserve"> I</w:t>
      </w:r>
      <w:r w:rsidR="00F92B11">
        <w:t>l importe</w:t>
      </w:r>
      <w:r w:rsidR="003B0EC2">
        <w:t xml:space="preserve"> de revenir à la notion même d’</w:t>
      </w:r>
      <w:r w:rsidR="0023226E">
        <w:t>« </w:t>
      </w:r>
      <w:r w:rsidR="003B0EC2">
        <w:t>émancipation</w:t>
      </w:r>
      <w:r w:rsidR="0023226E">
        <w:t> »</w:t>
      </w:r>
      <w:r w:rsidR="003B0EC2">
        <w:t xml:space="preserve"> telle qu’elle s’est formée à l’époque des Lumières. </w:t>
      </w:r>
      <w:r w:rsidR="00B8440E">
        <w:t>On sait que Foucault accorde une importance toute pa</w:t>
      </w:r>
      <w:r w:rsidR="004D198A">
        <w:t>rticulière à l’article de Kant</w:t>
      </w:r>
      <w:r w:rsidR="00B8440E">
        <w:t> </w:t>
      </w:r>
      <w:r w:rsidR="00B8440E" w:rsidRPr="004D198A">
        <w:rPr>
          <w:i/>
        </w:rPr>
        <w:t>Qu’</w:t>
      </w:r>
      <w:r w:rsidR="00B76754" w:rsidRPr="004D198A">
        <w:rPr>
          <w:i/>
        </w:rPr>
        <w:t>est-ce que les L</w:t>
      </w:r>
      <w:r w:rsidR="00B8440E" w:rsidRPr="004D198A">
        <w:rPr>
          <w:i/>
        </w:rPr>
        <w:t>umières</w:t>
      </w:r>
      <w:r w:rsidR="004D198A">
        <w:t> </w:t>
      </w:r>
      <w:r w:rsidR="004D198A" w:rsidRPr="004D198A">
        <w:rPr>
          <w:i/>
        </w:rPr>
        <w:t>?</w:t>
      </w:r>
      <w:r w:rsidR="00822126" w:rsidRPr="004D198A">
        <w:rPr>
          <w:i/>
        </w:rPr>
        <w:t xml:space="preserve"> </w:t>
      </w:r>
      <w:r w:rsidR="00822126">
        <w:t>(</w:t>
      </w:r>
      <w:r w:rsidR="00EE3F0F">
        <w:t>1784)</w:t>
      </w:r>
      <w:r w:rsidR="00F92B11">
        <w:t xml:space="preserve">, dans lequel </w:t>
      </w:r>
      <w:r w:rsidR="00B76754">
        <w:t xml:space="preserve">les Lumières sont définies comme </w:t>
      </w:r>
      <w:r w:rsidR="00797446">
        <w:t>« </w:t>
      </w:r>
      <w:r w:rsidR="00B76754">
        <w:t>la sortie de l’homme hors de la minorité dont il est lui-même responsable</w:t>
      </w:r>
      <w:r w:rsidR="00797446">
        <w:t> »</w:t>
      </w:r>
      <w:r w:rsidR="00DB4CEA">
        <w:t>. L</w:t>
      </w:r>
      <w:r w:rsidR="00B76754">
        <w:t>a minorité es</w:t>
      </w:r>
      <w:r w:rsidR="00DB4CEA">
        <w:t>t</w:t>
      </w:r>
      <w:r w:rsidR="00B76754">
        <w:t xml:space="preserve"> l’état d’un homme déjà affranchi par la nature de toute tutel</w:t>
      </w:r>
      <w:r w:rsidR="00BE38C9">
        <w:t>le étrangère mais qui se complaî</w:t>
      </w:r>
      <w:r w:rsidR="00B76754">
        <w:t>t dans une dépendance à l’égard d’</w:t>
      </w:r>
      <w:r w:rsidR="0023226E">
        <w:t>un autre homme</w:t>
      </w:r>
      <w:r w:rsidR="00B76754">
        <w:t>. « Minorité » désigne donc proprement la dépendance d’un homme par nature libre</w:t>
      </w:r>
      <w:r w:rsidR="00822126">
        <w:t xml:space="preserve"> à l’égard d’un autre homme</w:t>
      </w:r>
      <w:r w:rsidR="0023226E">
        <w:t xml:space="preserve">. Sortir de la minorité est ainsi se libérer de la tutelle ou de l’autorité d’une autre personne. En ce sens cette libération est un acte d’émancipation. </w:t>
      </w:r>
      <w:r w:rsidR="00B8440E">
        <w:t>En droit romain</w:t>
      </w:r>
      <w:r w:rsidR="005631DF">
        <w:t>,</w:t>
      </w:r>
      <w:r w:rsidR="00B8440E">
        <w:t xml:space="preserve"> le </w:t>
      </w:r>
      <w:r w:rsidR="00B8440E" w:rsidRPr="00B8440E">
        <w:rPr>
          <w:i/>
        </w:rPr>
        <w:t>mancipium</w:t>
      </w:r>
      <w:r w:rsidR="00B8440E">
        <w:t xml:space="preserve"> </w:t>
      </w:r>
      <w:r w:rsidR="005631DF">
        <w:t xml:space="preserve">(de </w:t>
      </w:r>
      <w:r w:rsidR="0023226E" w:rsidRPr="00822126">
        <w:rPr>
          <w:i/>
        </w:rPr>
        <w:t>manus</w:t>
      </w:r>
      <w:r w:rsidR="0023226E">
        <w:t>, la main</w:t>
      </w:r>
      <w:r w:rsidR="005631DF">
        <w:t xml:space="preserve">, qui </w:t>
      </w:r>
      <w:r w:rsidR="00822126">
        <w:t>signif</w:t>
      </w:r>
      <w:r w:rsidR="005631DF">
        <w:t xml:space="preserve">ie le statut du dépendant </w:t>
      </w:r>
      <w:r w:rsidR="00822126">
        <w:t>sur lequel « on a la main »</w:t>
      </w:r>
      <w:r w:rsidR="0023226E">
        <w:t xml:space="preserve">) </w:t>
      </w:r>
      <w:r w:rsidR="00B8440E">
        <w:t>est la puissance détenue sur un homme libre par un autre homme libre.</w:t>
      </w:r>
      <w:r w:rsidR="0023226E">
        <w:t xml:space="preserve"> L’émancipation (de « </w:t>
      </w:r>
      <w:r w:rsidR="0023226E" w:rsidRPr="0023226E">
        <w:rPr>
          <w:i/>
        </w:rPr>
        <w:t>ex-mancipare</w:t>
      </w:r>
      <w:r w:rsidR="0023226E">
        <w:t> »)</w:t>
      </w:r>
      <w:r w:rsidR="0084115A">
        <w:t>,</w:t>
      </w:r>
      <w:r w:rsidR="0023226E">
        <w:t xml:space="preserve"> </w:t>
      </w:r>
      <w:r w:rsidR="0084115A">
        <w:t xml:space="preserve">qui est l’acte par lequel un père de famille abdiquait sa puissance sur un mineur et lui reconnaissait la capacité juridique, </w:t>
      </w:r>
      <w:r w:rsidR="0023226E">
        <w:t>diffère par là de l’affranchissement</w:t>
      </w:r>
      <w:r w:rsidR="00DB4CEA">
        <w:t>,</w:t>
      </w:r>
      <w:r w:rsidR="0023226E">
        <w:t xml:space="preserve"> qui est l’acte par lequel on accorde la liberté à</w:t>
      </w:r>
      <w:r w:rsidR="0084115A">
        <w:t xml:space="preserve"> un homme non-libre (un esclave)</w:t>
      </w:r>
      <w:r w:rsidR="0023226E">
        <w:t xml:space="preserve">. </w:t>
      </w:r>
    </w:p>
    <w:p w:rsidR="00B8440E" w:rsidRDefault="0023226E">
      <w:r>
        <w:t xml:space="preserve">Cependant ce qui retient l’intérêt de Foucault dans l’article de Kant, c’est moins </w:t>
      </w:r>
      <w:r w:rsidR="00797446">
        <w:t xml:space="preserve">le contenu de </w:t>
      </w:r>
      <w:r w:rsidR="00EF4574">
        <w:t>l’idée d’émancipation</w:t>
      </w:r>
      <w:r w:rsidR="00822126">
        <w:t xml:space="preserve"> ou de libération</w:t>
      </w:r>
      <w:r w:rsidR="00EF4574">
        <w:t xml:space="preserve"> que la réflexivité par laquelle une certaine actualité se trouve problématisée. Il s’agit d’en appeler à une critique </w:t>
      </w:r>
      <w:r w:rsidR="00797446">
        <w:t xml:space="preserve">de nous-mêmes </w:t>
      </w:r>
      <w:r w:rsidR="0084115A">
        <w:t xml:space="preserve">qui interroge notre actualité et notre propre place dans cette actualité. </w:t>
      </w:r>
      <w:r w:rsidR="00EC4EB5">
        <w:t xml:space="preserve">En ce sens </w:t>
      </w:r>
      <w:r w:rsidR="006B021A">
        <w:t xml:space="preserve">elle </w:t>
      </w:r>
      <w:r w:rsidR="00797446">
        <w:t xml:space="preserve">doit </w:t>
      </w:r>
      <w:r w:rsidR="004D198A">
        <w:t>« </w:t>
      </w:r>
      <w:r w:rsidR="00797446">
        <w:t>se détourner de tous ces projets qui préte</w:t>
      </w:r>
      <w:r w:rsidR="00B67BD3">
        <w:t>ndent être globaux et radicaux</w:t>
      </w:r>
      <w:r w:rsidR="00797446">
        <w:t>»</w:t>
      </w:r>
      <w:r w:rsidR="00B67BD3">
        <w:t xml:space="preserve"> et qui procèdent de « la prétention à échapper au système de l’actualité pour donner des programmes d’ensemble d’une autre société »</w:t>
      </w:r>
      <w:r w:rsidR="00797446">
        <w:rPr>
          <w:rStyle w:val="Appelnotedebasdep"/>
        </w:rPr>
        <w:footnoteReference w:id="1"/>
      </w:r>
      <w:r w:rsidR="00B67BD3">
        <w:t xml:space="preserve">.  </w:t>
      </w:r>
      <w:r w:rsidR="00613BA9">
        <w:t xml:space="preserve">A </w:t>
      </w:r>
      <w:r w:rsidR="00B67BD3">
        <w:t>toutes les « promesses de l’homme nouveau »</w:t>
      </w:r>
      <w:r w:rsidR="00613BA9">
        <w:t>, il faut préférer « le travail indéfini de la liberté » tel qu’il s’expérimente dans des situations à chaque fois contingentes</w:t>
      </w:r>
      <w:r w:rsidR="00822126">
        <w:t xml:space="preserve"> et toujours nouvelles</w:t>
      </w:r>
      <w:r w:rsidR="00EE3F0F">
        <w:t>, « un labeur patient qui donne forme à l’impatience de la liberté »</w:t>
      </w:r>
      <w:r w:rsidR="00EE3F0F">
        <w:rPr>
          <w:rStyle w:val="Appelnotedebasdep"/>
        </w:rPr>
        <w:footnoteReference w:id="2"/>
      </w:r>
      <w:r w:rsidR="00613BA9">
        <w:t xml:space="preserve">. On s’explique aisément dans ces conditions la défiance de Foucault à l’égard </w:t>
      </w:r>
      <w:r w:rsidR="00822126">
        <w:t xml:space="preserve">des grands projets d’émancipation issus des Lumières. </w:t>
      </w:r>
      <w:r w:rsidR="002E2D12">
        <w:t xml:space="preserve">Il confiera ainsi </w:t>
      </w:r>
      <w:r w:rsidR="006747B4">
        <w:t xml:space="preserve">dans un entretien </w:t>
      </w:r>
      <w:r w:rsidR="006B021A">
        <w:t xml:space="preserve">en 1984 avoir </w:t>
      </w:r>
      <w:r w:rsidR="006B021A">
        <w:lastRenderedPageBreak/>
        <w:t>« </w:t>
      </w:r>
      <w:r w:rsidR="002E2D12">
        <w:t>toujours été un peu méfiant à l’égard du thème général de la libération</w:t>
      </w:r>
      <w:r w:rsidR="006B021A">
        <w:t> »</w:t>
      </w:r>
      <w:r w:rsidR="002E2D12">
        <w:t xml:space="preserve">, dans la </w:t>
      </w:r>
      <w:r w:rsidR="00DB4CEA">
        <w:t>mesure où il procède peu ou prou de</w:t>
      </w:r>
      <w:r w:rsidR="002E2D12">
        <w:t xml:space="preserve"> l’idée qu’il existe </w:t>
      </w:r>
      <w:r w:rsidR="00B47BBE">
        <w:t>« </w:t>
      </w:r>
      <w:r w:rsidR="002E2D12">
        <w:t>une nature ou un fond humain</w:t>
      </w:r>
      <w:r w:rsidR="00B47BBE">
        <w:t> »</w:t>
      </w:r>
      <w:r w:rsidR="002E2D12">
        <w:t xml:space="preserve"> </w:t>
      </w:r>
      <w:r w:rsidR="002102F4">
        <w:t>aliéné et réprimé. S</w:t>
      </w:r>
      <w:r w:rsidR="006B021A">
        <w:t xml:space="preserve">e dessine </w:t>
      </w:r>
      <w:r w:rsidR="002102F4">
        <w:t xml:space="preserve">alors </w:t>
      </w:r>
      <w:r w:rsidR="006B021A">
        <w:t>le projet d’une réconciliation de l’homme avec lui-même par la reprise en lui-même de cette nature aliénée</w:t>
      </w:r>
      <w:r w:rsidR="00F07003">
        <w:rPr>
          <w:rStyle w:val="Appelnotedebasdep"/>
        </w:rPr>
        <w:footnoteReference w:id="3"/>
      </w:r>
      <w:r w:rsidR="006B021A">
        <w:t xml:space="preserve">. </w:t>
      </w:r>
      <w:r w:rsidR="00F07003">
        <w:t xml:space="preserve">  </w:t>
      </w:r>
      <w:r w:rsidR="005622C1">
        <w:t xml:space="preserve">Peu après il précise : </w:t>
      </w:r>
      <w:r w:rsidR="00F07003">
        <w:t>«C’est pourquoi j’insiste plutôt sur les pratiques de liberté que sur les processus de libérati</w:t>
      </w:r>
      <w:r w:rsidR="00B73A28">
        <w:t>on. » On reconnaîtra</w:t>
      </w:r>
      <w:r w:rsidR="00F07003">
        <w:t xml:space="preserve"> </w:t>
      </w:r>
      <w:r w:rsidR="00073FEA">
        <w:t xml:space="preserve">donc </w:t>
      </w:r>
      <w:r w:rsidR="00F07003">
        <w:t xml:space="preserve">que la libération à l’égard de la domination </w:t>
      </w:r>
      <w:r w:rsidR="00846372">
        <w:t xml:space="preserve">(ou </w:t>
      </w:r>
      <w:r w:rsidR="00073FEA">
        <w:t>émancipation), tout en étant</w:t>
      </w:r>
      <w:r w:rsidR="00F07003">
        <w:t xml:space="preserve"> la </w:t>
      </w:r>
      <w:r w:rsidR="00F07003" w:rsidRPr="00B73A28">
        <w:rPr>
          <w:i/>
        </w:rPr>
        <w:t>condit</w:t>
      </w:r>
      <w:r w:rsidR="000D18AE" w:rsidRPr="00B73A28">
        <w:rPr>
          <w:i/>
        </w:rPr>
        <w:t>ion</w:t>
      </w:r>
      <w:r w:rsidR="00D3510D">
        <w:t xml:space="preserve"> </w:t>
      </w:r>
      <w:r w:rsidR="000D18AE">
        <w:t>d’</w:t>
      </w:r>
      <w:r w:rsidR="00F07003">
        <w:t>une pratique de liberté</w:t>
      </w:r>
      <w:r w:rsidR="00073FEA">
        <w:t>, ne définit pas</w:t>
      </w:r>
      <w:r w:rsidR="00B73A28">
        <w:t xml:space="preserve"> </w:t>
      </w:r>
      <w:r w:rsidR="000D18AE">
        <w:t xml:space="preserve">une </w:t>
      </w:r>
      <w:r w:rsidR="00DB4CEA">
        <w:t>fin générale, celle de</w:t>
      </w:r>
      <w:r w:rsidR="00F83BFC">
        <w:t xml:space="preserve"> la reprise ou </w:t>
      </w:r>
      <w:r w:rsidR="00DB4CEA">
        <w:t xml:space="preserve">de </w:t>
      </w:r>
      <w:r w:rsidR="00F83BFC">
        <w:t>la réappropria</w:t>
      </w:r>
      <w:r w:rsidR="00DB4CEA">
        <w:t>tion de</w:t>
      </w:r>
      <w:r w:rsidR="00F83BFC">
        <w:t xml:space="preserve"> </w:t>
      </w:r>
      <w:r w:rsidR="00DB4CEA">
        <w:t>l’</w:t>
      </w:r>
      <w:r w:rsidR="00F83BFC">
        <w:t>essence</w:t>
      </w:r>
      <w:r w:rsidR="00DB4CEA">
        <w:t xml:space="preserve"> humaine</w:t>
      </w:r>
      <w:r w:rsidR="005622C1">
        <w:t xml:space="preserve">. </w:t>
      </w:r>
      <w:r w:rsidR="00757F63">
        <w:t>Ainsi</w:t>
      </w:r>
      <w:r w:rsidR="00DB4CEA">
        <w:t>,</w:t>
      </w:r>
      <w:r w:rsidR="00757F63">
        <w:t xml:space="preserve"> c</w:t>
      </w:r>
      <w:r w:rsidR="005832CF">
        <w:t xml:space="preserve">omprise </w:t>
      </w:r>
      <w:r w:rsidR="00B73A28">
        <w:t xml:space="preserve">négativement </w:t>
      </w:r>
      <w:r w:rsidR="005832CF">
        <w:t>comme condition, l’émancipatio</w:t>
      </w:r>
      <w:r w:rsidR="00B73A28">
        <w:t xml:space="preserve">n ne suffit pas à la constitution </w:t>
      </w:r>
      <w:r w:rsidR="005832CF">
        <w:t xml:space="preserve">de pratiques de liberté. </w:t>
      </w:r>
    </w:p>
    <w:p w:rsidR="002034AA" w:rsidRDefault="002E2D12">
      <w:r>
        <w:t>En fait</w:t>
      </w:r>
      <w:r w:rsidR="005622C1">
        <w:t>,</w:t>
      </w:r>
      <w:r>
        <w:t xml:space="preserve"> ce qui est profondé</w:t>
      </w:r>
      <w:r w:rsidR="00515FB5">
        <w:t xml:space="preserve">ment en cause est la </w:t>
      </w:r>
      <w:r>
        <w:t>conception</w:t>
      </w:r>
      <w:r w:rsidR="00DB4CEA">
        <w:t xml:space="preserve"> spécifique </w:t>
      </w:r>
      <w:r w:rsidR="00515FB5">
        <w:t>qui sous-tend l’</w:t>
      </w:r>
      <w:r w:rsidR="004A3460">
        <w:t>« ana</w:t>
      </w:r>
      <w:r w:rsidR="00515FB5">
        <w:t>lytique du pouvoir ». Foucault</w:t>
      </w:r>
      <w:r w:rsidR="005B55D2">
        <w:t xml:space="preserve"> récuse toute </w:t>
      </w:r>
      <w:r w:rsidR="00BE38C9">
        <w:t xml:space="preserve">idée </w:t>
      </w:r>
      <w:r w:rsidR="005B55D2">
        <w:t xml:space="preserve">du pouvoir comme </w:t>
      </w:r>
      <w:r w:rsidR="00073FEA">
        <w:t>« </w:t>
      </w:r>
      <w:r w:rsidR="005B55D2">
        <w:t>chose</w:t>
      </w:r>
      <w:r w:rsidR="00073FEA">
        <w:t> »</w:t>
      </w:r>
      <w:r w:rsidR="005B55D2">
        <w:t xml:space="preserve"> ou </w:t>
      </w:r>
      <w:r w:rsidR="00073FEA">
        <w:t>« </w:t>
      </w:r>
      <w:r w:rsidR="005B55D2">
        <w:t>substance</w:t>
      </w:r>
      <w:r w:rsidR="00073FEA">
        <w:t> »</w:t>
      </w:r>
      <w:r w:rsidR="005B55D2">
        <w:t xml:space="preserve"> pour privilégier</w:t>
      </w:r>
      <w:r w:rsidR="004A3460">
        <w:t xml:space="preserve"> les </w:t>
      </w:r>
      <w:r w:rsidR="004A3460" w:rsidRPr="00073FEA">
        <w:rPr>
          <w:i/>
        </w:rPr>
        <w:t>relations</w:t>
      </w:r>
      <w:r w:rsidR="004A3460">
        <w:t xml:space="preserve"> de</w:t>
      </w:r>
      <w:r w:rsidR="005B55D2">
        <w:t xml:space="preserve"> pouvoir</w:t>
      </w:r>
      <w:r w:rsidR="004A3460">
        <w:t>. En ce sens,</w:t>
      </w:r>
      <w:r w:rsidR="00BE38C9">
        <w:t xml:space="preserve"> l</w:t>
      </w:r>
      <w:r w:rsidR="00D3510D">
        <w:t>oin de s’identifier à un appareil</w:t>
      </w:r>
      <w:r w:rsidR="00BE38C9">
        <w:t xml:space="preserve"> répressif,</w:t>
      </w:r>
      <w:r w:rsidR="004A3460">
        <w:t xml:space="preserve"> le pouvoir lui paraît présupposer la liberté et n’est pas en soi chose mauvaise</w:t>
      </w:r>
      <w:r w:rsidR="00BE38C9">
        <w:t xml:space="preserve">. Il ne faut pas confondre </w:t>
      </w:r>
      <w:r w:rsidR="00907A64">
        <w:t xml:space="preserve">en effet </w:t>
      </w:r>
      <w:r w:rsidR="00BE38C9">
        <w:t>le pouvoir et la domination qui est la fixation des relations de pouvoir</w:t>
      </w:r>
      <w:r w:rsidR="00BE38C9">
        <w:rPr>
          <w:rStyle w:val="Appelnotedebasdep"/>
        </w:rPr>
        <w:footnoteReference w:id="4"/>
      </w:r>
      <w:r w:rsidR="00BE38C9">
        <w:t xml:space="preserve">. </w:t>
      </w:r>
      <w:r w:rsidR="002034AA">
        <w:t xml:space="preserve">On </w:t>
      </w:r>
      <w:r w:rsidR="002034AA" w:rsidRPr="00757F63">
        <w:rPr>
          <w:i/>
        </w:rPr>
        <w:t>se libère</w:t>
      </w:r>
      <w:r w:rsidR="002034AA">
        <w:t xml:space="preserve"> de la domination, mais on </w:t>
      </w:r>
      <w:r w:rsidR="002034AA" w:rsidRPr="00757F63">
        <w:rPr>
          <w:i/>
        </w:rPr>
        <w:t xml:space="preserve">résiste </w:t>
      </w:r>
      <w:r w:rsidR="002034AA">
        <w:t>au pouvoir</w:t>
      </w:r>
      <w:r w:rsidR="00757F63">
        <w:t>, et c’est pourquoi il est vain d’espérer se libérer du pouvoir alors qu’il est pleinement légitime de combattre pour se libérer de la domination</w:t>
      </w:r>
      <w:r w:rsidR="002034AA">
        <w:t xml:space="preserve">. </w:t>
      </w:r>
    </w:p>
    <w:p w:rsidR="00217AEE" w:rsidRDefault="00C57C65">
      <w:r>
        <w:t>L</w:t>
      </w:r>
      <w:r w:rsidR="00217AEE">
        <w:t>a critique de Foucault invite à réélaborer le projet d’émancipation</w:t>
      </w:r>
      <w:r w:rsidR="00EE4734">
        <w:t> : s’émanciper</w:t>
      </w:r>
      <w:r w:rsidR="00525942">
        <w:t xml:space="preserve"> ne consiste ni à</w:t>
      </w:r>
      <w:r>
        <w:t xml:space="preserve"> retrouver</w:t>
      </w:r>
      <w:r w:rsidR="00F3077A">
        <w:t xml:space="preserve"> une essence devenue étrangère</w:t>
      </w:r>
      <w:r w:rsidR="00632630">
        <w:t xml:space="preserve">, </w:t>
      </w:r>
      <w:r>
        <w:t>ni</w:t>
      </w:r>
      <w:r w:rsidR="002034AA">
        <w:t xml:space="preserve"> à se libérer</w:t>
      </w:r>
      <w:r w:rsidR="00907A64">
        <w:t xml:space="preserve"> de toute</w:t>
      </w:r>
      <w:r>
        <w:t xml:space="preserve"> forme de pouvoir. </w:t>
      </w:r>
      <w:r w:rsidR="00632630">
        <w:t xml:space="preserve"> </w:t>
      </w:r>
      <w:r w:rsidR="00757F63">
        <w:t xml:space="preserve">Mais poussée au-delà d’un certain point, la dissociation entre libération et liberté est artificielle. </w:t>
      </w:r>
      <w:r w:rsidR="00EE4734">
        <w:t>Dans sa véritable acception</w:t>
      </w:r>
      <w:r>
        <w:t xml:space="preserve">, l’émancipation </w:t>
      </w:r>
      <w:r w:rsidR="00757F63">
        <w:t xml:space="preserve">ou libération </w:t>
      </w:r>
      <w:r>
        <w:t>consiste</w:t>
      </w:r>
      <w:r w:rsidR="002034AA">
        <w:t xml:space="preserve"> </w:t>
      </w:r>
      <w:r>
        <w:t>pour l’homme</w:t>
      </w:r>
      <w:r w:rsidR="002034AA">
        <w:t xml:space="preserve"> </w:t>
      </w:r>
      <w:r w:rsidR="00632630">
        <w:t xml:space="preserve">à </w:t>
      </w:r>
      <w:r w:rsidRPr="005579CE">
        <w:rPr>
          <w:i/>
        </w:rPr>
        <w:t>se produire</w:t>
      </w:r>
      <w:r w:rsidR="00F3077A" w:rsidRPr="005579CE">
        <w:rPr>
          <w:i/>
        </w:rPr>
        <w:t xml:space="preserve"> </w:t>
      </w:r>
      <w:r w:rsidR="002034AA" w:rsidRPr="005579CE">
        <w:rPr>
          <w:i/>
        </w:rPr>
        <w:t xml:space="preserve">lui-même </w:t>
      </w:r>
      <w:r w:rsidR="00F3077A" w:rsidRPr="005579CE">
        <w:rPr>
          <w:i/>
        </w:rPr>
        <w:t>par des pratiques de liberté</w:t>
      </w:r>
      <w:r w:rsidR="00FC3916">
        <w:t>. P</w:t>
      </w:r>
      <w:r w:rsidR="002034AA">
        <w:t xml:space="preserve">eut-on </w:t>
      </w:r>
      <w:r w:rsidR="00FC3916">
        <w:t xml:space="preserve">cependant </w:t>
      </w:r>
      <w:r w:rsidR="002034AA">
        <w:t xml:space="preserve">confiner </w:t>
      </w:r>
      <w:r w:rsidR="00EE4734">
        <w:t xml:space="preserve">ces pratiques </w:t>
      </w:r>
      <w:r w:rsidR="00D3510D">
        <w:t>à l’</w:t>
      </w:r>
      <w:r w:rsidR="00907A64">
        <w:t>« </w:t>
      </w:r>
      <w:r w:rsidR="00D3510D">
        <w:t>éthique du souci de soi</w:t>
      </w:r>
      <w:r w:rsidR="00907A64">
        <w:t> »</w:t>
      </w:r>
      <w:r w:rsidR="00EE4734">
        <w:t> ?  N</w:t>
      </w:r>
      <w:r w:rsidR="00F3077A">
        <w:t xml:space="preserve">e relèvent-elles pas avant tout du principe politique de l’auto-gouvernement ? </w:t>
      </w:r>
    </w:p>
    <w:p w:rsidR="00907A64" w:rsidRDefault="00907A64"/>
    <w:p w:rsidR="00907A64" w:rsidRPr="0072769A" w:rsidRDefault="00907A6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C65">
        <w:tab/>
      </w:r>
      <w:r w:rsidR="00C57C65">
        <w:tab/>
      </w:r>
      <w:r w:rsidRPr="0072769A">
        <w:rPr>
          <w:b/>
        </w:rPr>
        <w:t>Pierre Dardot</w:t>
      </w:r>
    </w:p>
    <w:sectPr w:rsidR="00907A64" w:rsidRPr="0072769A" w:rsidSect="007D735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6F" w:rsidRDefault="00363E6F" w:rsidP="00797446">
      <w:pPr>
        <w:spacing w:after="0" w:line="240" w:lineRule="auto"/>
      </w:pPr>
      <w:r>
        <w:separator/>
      </w:r>
    </w:p>
  </w:endnote>
  <w:endnote w:type="continuationSeparator" w:id="0">
    <w:p w:rsidR="00363E6F" w:rsidRDefault="00363E6F" w:rsidP="0079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CE" w:rsidRDefault="005579CE">
    <w:pPr>
      <w:pStyle w:val="Pieddepage"/>
      <w:jc w:val="right"/>
    </w:pPr>
    <w:fldSimple w:instr=" PAGE   \* MERGEFORMAT ">
      <w:r w:rsidR="00363E6F">
        <w:rPr>
          <w:noProof/>
        </w:rPr>
        <w:t>1</w:t>
      </w:r>
    </w:fldSimple>
  </w:p>
  <w:p w:rsidR="005579CE" w:rsidRDefault="005579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6F" w:rsidRDefault="00363E6F" w:rsidP="00797446">
      <w:pPr>
        <w:spacing w:after="0" w:line="240" w:lineRule="auto"/>
      </w:pPr>
      <w:r>
        <w:separator/>
      </w:r>
    </w:p>
  </w:footnote>
  <w:footnote w:type="continuationSeparator" w:id="0">
    <w:p w:rsidR="00363E6F" w:rsidRDefault="00363E6F" w:rsidP="00797446">
      <w:pPr>
        <w:spacing w:after="0" w:line="240" w:lineRule="auto"/>
      </w:pPr>
      <w:r>
        <w:continuationSeparator/>
      </w:r>
    </w:p>
  </w:footnote>
  <w:footnote w:id="1">
    <w:p w:rsidR="00F07003" w:rsidRDefault="00F0700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97446">
        <w:rPr>
          <w:i/>
        </w:rPr>
        <w:t>Dits et écrits II</w:t>
      </w:r>
      <w:r>
        <w:t xml:space="preserve">, Quarto Gallimard, 2001, p. 1393-1394. </w:t>
      </w:r>
    </w:p>
  </w:footnote>
  <w:footnote w:id="2">
    <w:p w:rsidR="00F07003" w:rsidRDefault="00F0700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E3F0F">
        <w:rPr>
          <w:i/>
        </w:rPr>
        <w:t>Ibid.</w:t>
      </w:r>
      <w:r>
        <w:t xml:space="preserve">, p. 1397. </w:t>
      </w:r>
    </w:p>
  </w:footnote>
  <w:footnote w:id="3">
    <w:p w:rsidR="00F07003" w:rsidRDefault="00F0700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07003">
        <w:rPr>
          <w:i/>
        </w:rPr>
        <w:t>Ibid</w:t>
      </w:r>
      <w:r w:rsidR="002102F4">
        <w:t>., p. 1528-1529</w:t>
      </w:r>
      <w:r w:rsidR="006747B4">
        <w:t>.</w:t>
      </w:r>
    </w:p>
  </w:footnote>
  <w:footnote w:id="4">
    <w:p w:rsidR="00BE38C9" w:rsidRDefault="00BE38C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E38C9">
        <w:rPr>
          <w:i/>
        </w:rPr>
        <w:t>Ibid</w:t>
      </w:r>
      <w:r>
        <w:t xml:space="preserve">., p. 1530.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4BAB"/>
    <w:rsid w:val="00023471"/>
    <w:rsid w:val="00073FEA"/>
    <w:rsid w:val="000D18AE"/>
    <w:rsid w:val="000D32C5"/>
    <w:rsid w:val="00130653"/>
    <w:rsid w:val="002034AA"/>
    <w:rsid w:val="002102F4"/>
    <w:rsid w:val="00214BAB"/>
    <w:rsid w:val="00217AEE"/>
    <w:rsid w:val="0023226E"/>
    <w:rsid w:val="002E2D12"/>
    <w:rsid w:val="00363E6F"/>
    <w:rsid w:val="00394138"/>
    <w:rsid w:val="003B0EC2"/>
    <w:rsid w:val="004504D7"/>
    <w:rsid w:val="004640AF"/>
    <w:rsid w:val="0048146D"/>
    <w:rsid w:val="004A3460"/>
    <w:rsid w:val="004D198A"/>
    <w:rsid w:val="00515FB5"/>
    <w:rsid w:val="00525942"/>
    <w:rsid w:val="005579CE"/>
    <w:rsid w:val="005622C1"/>
    <w:rsid w:val="005631DF"/>
    <w:rsid w:val="00564E9D"/>
    <w:rsid w:val="005832CF"/>
    <w:rsid w:val="005B55D2"/>
    <w:rsid w:val="00606D8F"/>
    <w:rsid w:val="00613BA9"/>
    <w:rsid w:val="00624107"/>
    <w:rsid w:val="00632630"/>
    <w:rsid w:val="0066555D"/>
    <w:rsid w:val="006747B4"/>
    <w:rsid w:val="00685396"/>
    <w:rsid w:val="006B021A"/>
    <w:rsid w:val="007057B7"/>
    <w:rsid w:val="0072769A"/>
    <w:rsid w:val="00734506"/>
    <w:rsid w:val="00757F63"/>
    <w:rsid w:val="00797446"/>
    <w:rsid w:val="007D735F"/>
    <w:rsid w:val="00800379"/>
    <w:rsid w:val="00803705"/>
    <w:rsid w:val="00813503"/>
    <w:rsid w:val="00822126"/>
    <w:rsid w:val="0084115A"/>
    <w:rsid w:val="00846372"/>
    <w:rsid w:val="00897865"/>
    <w:rsid w:val="00907A64"/>
    <w:rsid w:val="00A52199"/>
    <w:rsid w:val="00A56580"/>
    <w:rsid w:val="00A7496D"/>
    <w:rsid w:val="00B076D2"/>
    <w:rsid w:val="00B47BBE"/>
    <w:rsid w:val="00B67BD3"/>
    <w:rsid w:val="00B73A28"/>
    <w:rsid w:val="00B76754"/>
    <w:rsid w:val="00B818C9"/>
    <w:rsid w:val="00B8440E"/>
    <w:rsid w:val="00BB1BD7"/>
    <w:rsid w:val="00BE38C9"/>
    <w:rsid w:val="00C57C65"/>
    <w:rsid w:val="00D34B74"/>
    <w:rsid w:val="00D3510D"/>
    <w:rsid w:val="00D669E4"/>
    <w:rsid w:val="00DB4CEA"/>
    <w:rsid w:val="00DE0E68"/>
    <w:rsid w:val="00EC4EB5"/>
    <w:rsid w:val="00EE3F0F"/>
    <w:rsid w:val="00EE4734"/>
    <w:rsid w:val="00EF4574"/>
    <w:rsid w:val="00F07003"/>
    <w:rsid w:val="00F3077A"/>
    <w:rsid w:val="00F61B5E"/>
    <w:rsid w:val="00F83BFC"/>
    <w:rsid w:val="00F92B11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D2"/>
    <w:pPr>
      <w:spacing w:after="20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s">
    <w:name w:val="Notes"/>
    <w:link w:val="NotesCar"/>
    <w:qFormat/>
    <w:rsid w:val="00B076D2"/>
    <w:pPr>
      <w:spacing w:after="200" w:line="276" w:lineRule="auto"/>
    </w:pPr>
    <w:rPr>
      <w:rFonts w:ascii="Times New Roman" w:hAnsi="Times New Roman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6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6D2"/>
    <w:rPr>
      <w:rFonts w:ascii="Times New Roman" w:hAnsi="Times New Roman"/>
      <w:sz w:val="20"/>
      <w:szCs w:val="20"/>
    </w:rPr>
  </w:style>
  <w:style w:type="character" w:customStyle="1" w:styleId="NotesCar">
    <w:name w:val="Notes Car"/>
    <w:basedOn w:val="NotedebasdepageCar"/>
    <w:link w:val="Notes"/>
    <w:rsid w:val="00B076D2"/>
    <w:rPr>
      <w:lang w:val="fr-FR" w:eastAsia="en-US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797446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579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579CE"/>
    <w:rPr>
      <w:rFonts w:ascii="Times New Roman" w:hAnsi="Times New Roman"/>
      <w:sz w:val="24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579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9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E512-60CB-4D6C-B657-AC2CF796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Anne</cp:lastModifiedBy>
  <cp:revision>2</cp:revision>
  <dcterms:created xsi:type="dcterms:W3CDTF">2014-06-12T08:40:00Z</dcterms:created>
  <dcterms:modified xsi:type="dcterms:W3CDTF">2014-06-12T08:40:00Z</dcterms:modified>
</cp:coreProperties>
</file>